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A07644" w14:textId="77777777">
        <w:tc>
          <w:tcPr>
            <w:tcW w:w="3348" w:type="dxa"/>
            <w:tcBorders>
              <w:top w:val="nil"/>
              <w:left w:val="nil"/>
              <w:bottom w:val="nil"/>
              <w:right w:val="nil"/>
              <w:tl2br w:val="nil"/>
              <w:tr2bl w:val="nil"/>
            </w:tcBorders>
            <w:tcMar>
              <w:top w:w="0" w:type="dxa"/>
              <w:left w:w="108" w:type="dxa"/>
              <w:bottom w:w="0" w:type="dxa"/>
              <w:right w:w="108" w:type="dxa"/>
            </w:tcMar>
          </w:tcPr>
          <w:p w14:paraId="443F7F5E" w14:textId="77777777" w:rsidR="00864759" w:rsidRDefault="00864759">
            <w:pPr>
              <w:jc w:val="center"/>
            </w:pPr>
            <w:r>
              <w:rPr>
                <w:b/>
                <w:bCs/>
              </w:rPr>
              <w:t>ỦY BAN THƯỜNG VỤ</w:t>
            </w:r>
            <w:r>
              <w:rPr>
                <w:b/>
                <w:bCs/>
              </w:rPr>
              <w:br/>
              <w:t>QUỐC HỘI</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3060952" w14:textId="77777777" w:rsidR="00864759" w:rsidRDefault="00864759">
            <w:pPr>
              <w:jc w:val="center"/>
            </w:pPr>
            <w:r>
              <w:rPr>
                <w:b/>
                <w:bCs/>
              </w:rPr>
              <w:t>CỘNG HÒA XÃ HỘI CHỦ NGHĨA VIỆT NAM</w:t>
            </w:r>
            <w:r>
              <w:rPr>
                <w:b/>
                <w:bCs/>
              </w:rPr>
              <w:br/>
              <w:t xml:space="preserve">Độc lập - Tự do - Hạnh phúc </w:t>
            </w:r>
            <w:r>
              <w:rPr>
                <w:b/>
                <w:bCs/>
              </w:rPr>
              <w:br/>
              <w:t>---------------</w:t>
            </w:r>
          </w:p>
        </w:tc>
      </w:tr>
      <w:tr w:rsidR="00000000" w14:paraId="190113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BE5E2A0" w14:textId="77777777" w:rsidR="00864759" w:rsidRDefault="00864759">
            <w:pPr>
              <w:jc w:val="center"/>
            </w:pPr>
            <w:r>
              <w:t>Nghị quyết số: 08/2021/NQ-UBTVQH15</w:t>
            </w:r>
          </w:p>
        </w:tc>
        <w:tc>
          <w:tcPr>
            <w:tcW w:w="5508" w:type="dxa"/>
            <w:tcBorders>
              <w:top w:val="nil"/>
              <w:left w:val="nil"/>
              <w:bottom w:val="nil"/>
              <w:right w:val="nil"/>
              <w:tl2br w:val="nil"/>
              <w:tr2bl w:val="nil"/>
            </w:tcBorders>
            <w:tcMar>
              <w:top w:w="0" w:type="dxa"/>
              <w:left w:w="108" w:type="dxa"/>
              <w:bottom w:w="0" w:type="dxa"/>
              <w:right w:w="108" w:type="dxa"/>
            </w:tcMar>
          </w:tcPr>
          <w:p w14:paraId="0D33D863" w14:textId="77777777" w:rsidR="00864759" w:rsidRDefault="00864759">
            <w:pPr>
              <w:jc w:val="right"/>
            </w:pPr>
            <w:r>
              <w:rPr>
                <w:i/>
                <w:iCs/>
              </w:rPr>
              <w:t>Hà Nội, ngày 26 tháng 11 năm 2021</w:t>
            </w:r>
          </w:p>
        </w:tc>
      </w:tr>
    </w:tbl>
    <w:p w14:paraId="595B9E4C" w14:textId="77777777" w:rsidR="00864759" w:rsidRDefault="00864759">
      <w:pPr>
        <w:spacing w:after="120"/>
      </w:pPr>
      <w:r>
        <w:t> </w:t>
      </w:r>
    </w:p>
    <w:p w14:paraId="2AD49F07" w14:textId="77777777" w:rsidR="00864759" w:rsidRDefault="00864759">
      <w:pPr>
        <w:spacing w:after="120"/>
        <w:jc w:val="center"/>
      </w:pPr>
      <w:bookmarkStart w:id="0" w:name="loai_1"/>
      <w:r>
        <w:rPr>
          <w:b/>
          <w:bCs/>
        </w:rPr>
        <w:t>NGHỊ QUYẾT</w:t>
      </w:r>
      <w:bookmarkEnd w:id="0"/>
    </w:p>
    <w:p w14:paraId="39E5AC15" w14:textId="77777777" w:rsidR="00864759" w:rsidRDefault="00864759">
      <w:pPr>
        <w:spacing w:after="120"/>
        <w:jc w:val="center"/>
      </w:pPr>
      <w:bookmarkStart w:id="1" w:name="loai_1_name"/>
      <w:r>
        <w:t>GIẢI THÍCH KHOẢN 1 ĐIỀU 289 CỦA BỘ LUẬT HÌNH SỰ</w:t>
      </w:r>
      <w:bookmarkEnd w:id="1"/>
    </w:p>
    <w:p w14:paraId="3B07619E" w14:textId="77777777" w:rsidR="00864759" w:rsidRDefault="00864759">
      <w:pPr>
        <w:spacing w:after="120"/>
        <w:jc w:val="center"/>
      </w:pPr>
      <w:r>
        <w:rPr>
          <w:b/>
          <w:bCs/>
        </w:rPr>
        <w:t>ỦY BAN THƯỜNG VỤ QUỐC HỘI</w:t>
      </w:r>
    </w:p>
    <w:p w14:paraId="2538C8E3" w14:textId="77777777" w:rsidR="00864759" w:rsidRDefault="00864759">
      <w:pPr>
        <w:spacing w:after="120"/>
      </w:pPr>
      <w:r>
        <w:rPr>
          <w:i/>
          <w:iCs/>
        </w:rPr>
        <w:t xml:space="preserve">Căn cứ </w:t>
      </w:r>
      <w:bookmarkStart w:id="2" w:name="tvpllink_khhhnejlqt"/>
      <w:r>
        <w:rPr>
          <w:i/>
          <w:iCs/>
        </w:rPr>
        <w:t>Hiến pháp nước Cộng hòa xã hội chủ nghĩa Việt Nam</w:t>
      </w:r>
      <w:bookmarkEnd w:id="2"/>
      <w:r>
        <w:rPr>
          <w:i/>
          <w:iCs/>
        </w:rPr>
        <w:t>;</w:t>
      </w:r>
    </w:p>
    <w:p w14:paraId="0E7F61D1" w14:textId="77777777" w:rsidR="00864759" w:rsidRDefault="00864759">
      <w:pPr>
        <w:spacing w:after="120"/>
      </w:pPr>
      <w:r>
        <w:rPr>
          <w:i/>
          <w:iCs/>
        </w:rPr>
        <w:t xml:space="preserve">Căn cứ </w:t>
      </w:r>
      <w:bookmarkStart w:id="3" w:name="tvpllink_guhkadvvas"/>
      <w:r>
        <w:rPr>
          <w:i/>
          <w:iCs/>
        </w:rPr>
        <w:t>Luật Tổ chức Quốc hội số 57/2014/QH13</w:t>
      </w:r>
      <w:bookmarkEnd w:id="3"/>
      <w:r>
        <w:rPr>
          <w:i/>
          <w:iCs/>
        </w:rPr>
        <w:t xml:space="preserve"> đã được sửa đổi, bổ sung một số điều theo Luật số </w:t>
      </w:r>
      <w:bookmarkStart w:id="4" w:name="tvpllink_fztfrytpfv"/>
      <w:r>
        <w:rPr>
          <w:i/>
          <w:iCs/>
        </w:rPr>
        <w:t>65/2020/QH14</w:t>
      </w:r>
      <w:bookmarkEnd w:id="4"/>
      <w:r>
        <w:rPr>
          <w:i/>
          <w:iCs/>
        </w:rPr>
        <w:t>;</w:t>
      </w:r>
    </w:p>
    <w:p w14:paraId="47D84EFD" w14:textId="77777777" w:rsidR="00864759" w:rsidRDefault="00864759">
      <w:pPr>
        <w:spacing w:after="120"/>
      </w:pPr>
      <w:r>
        <w:rPr>
          <w:i/>
          <w:iCs/>
        </w:rPr>
        <w:t xml:space="preserve">Căn cứ </w:t>
      </w:r>
      <w:bookmarkStart w:id="5" w:name="tvpllink_vljtiegwee"/>
      <w:r>
        <w:rPr>
          <w:i/>
          <w:iCs/>
        </w:rPr>
        <w:t>Luật Ban hành văn bản quy phạm pháp luật số 80/2015/QH13</w:t>
      </w:r>
      <w:bookmarkEnd w:id="5"/>
      <w:r>
        <w:rPr>
          <w:i/>
          <w:iCs/>
        </w:rPr>
        <w:t xml:space="preserve"> đã được sửa đổi, bổ sung một số điều theo Luật số </w:t>
      </w:r>
      <w:bookmarkStart w:id="6" w:name="tvpllink_byajecjrvj"/>
      <w:r>
        <w:rPr>
          <w:i/>
          <w:iCs/>
        </w:rPr>
        <w:t>63/2020/QH14</w:t>
      </w:r>
      <w:bookmarkEnd w:id="6"/>
      <w:r>
        <w:rPr>
          <w:i/>
          <w:iCs/>
        </w:rPr>
        <w:t>;</w:t>
      </w:r>
    </w:p>
    <w:p w14:paraId="505B255D" w14:textId="77777777" w:rsidR="00864759" w:rsidRDefault="00864759">
      <w:pPr>
        <w:spacing w:after="120"/>
      </w:pPr>
      <w:r>
        <w:rPr>
          <w:i/>
          <w:iCs/>
        </w:rPr>
        <w:t xml:space="preserve">Căn cứ </w:t>
      </w:r>
      <w:bookmarkStart w:id="7" w:name="tvpllink_rabuqzntjc"/>
      <w:r>
        <w:rPr>
          <w:i/>
          <w:iCs/>
        </w:rPr>
        <w:t>Bộ luật Hình sự số 100/2015/QH13</w:t>
      </w:r>
      <w:bookmarkEnd w:id="7"/>
      <w:r>
        <w:rPr>
          <w:i/>
          <w:iCs/>
        </w:rPr>
        <w:t xml:space="preserve"> đã được sửa đổi, bổ sung một số điều theo Luật số </w:t>
      </w:r>
      <w:bookmarkStart w:id="8" w:name="tvpllink_tedsuyuset"/>
      <w:r>
        <w:rPr>
          <w:i/>
          <w:iCs/>
        </w:rPr>
        <w:t>12/2017/QH14</w:t>
      </w:r>
      <w:bookmarkEnd w:id="8"/>
      <w:r>
        <w:rPr>
          <w:i/>
          <w:iCs/>
        </w:rPr>
        <w:t>;</w:t>
      </w:r>
    </w:p>
    <w:p w14:paraId="53B53860" w14:textId="77777777" w:rsidR="00864759" w:rsidRDefault="00864759">
      <w:pPr>
        <w:spacing w:after="120"/>
        <w:jc w:val="center"/>
      </w:pPr>
      <w:r>
        <w:rPr>
          <w:b/>
          <w:bCs/>
        </w:rPr>
        <w:t>QUYẾT NGHỊ:</w:t>
      </w:r>
    </w:p>
    <w:p w14:paraId="6A40A1AD" w14:textId="77777777" w:rsidR="00864759" w:rsidRDefault="00864759">
      <w:pPr>
        <w:shd w:val="solid" w:color="FFFFFF" w:fill="auto"/>
        <w:spacing w:after="120"/>
      </w:pPr>
      <w:bookmarkStart w:id="9" w:name="dieu_1"/>
      <w:r>
        <w:rPr>
          <w:b/>
          <w:bCs/>
          <w:color w:val="000000"/>
        </w:rPr>
        <w:t>Điều 1. Giải thích</w:t>
      </w:r>
      <w:bookmarkEnd w:id="9"/>
      <w:r>
        <w:rPr>
          <w:b/>
          <w:bCs/>
          <w:color w:val="000000"/>
        </w:rPr>
        <w:t xml:space="preserve"> </w:t>
      </w:r>
      <w:bookmarkStart w:id="10" w:name="dc_1"/>
      <w:r>
        <w:rPr>
          <w:b/>
          <w:bCs/>
          <w:color w:val="000000"/>
        </w:rPr>
        <w:t>khoản 1 Điều 289 của Bộ luật Hình sự số 100/2015/QH13</w:t>
      </w:r>
      <w:bookmarkEnd w:id="10"/>
      <w:r>
        <w:rPr>
          <w:b/>
          <w:bCs/>
          <w:color w:val="000000"/>
        </w:rPr>
        <w:t xml:space="preserve"> </w:t>
      </w:r>
      <w:bookmarkStart w:id="11" w:name="dieu_1_name"/>
      <w:r>
        <w:rPr>
          <w:b/>
          <w:bCs/>
          <w:color w:val="000000"/>
        </w:rPr>
        <w:t>đã được sửa đổi, bổ sung một số điều theo Luật số 12/2017/QH14</w:t>
      </w:r>
      <w:bookmarkEnd w:id="11"/>
    </w:p>
    <w:p w14:paraId="4C874BC7" w14:textId="77777777" w:rsidR="00864759" w:rsidRDefault="00864759">
      <w:pPr>
        <w:spacing w:after="120"/>
      </w:pPr>
      <w:r>
        <w:t xml:space="preserve">Hành vi cố ý vượt qua cảnh báo, mã truy cập, tường lửa, sử dụng quyền quản trị của người khác hoặc bằng phương thức khác xâm nhập trái phép vào mạng máy tính, mạng viễn thông hoặc phương tiện điện tử của người khác lấy cắp dữ liệu quy định tại </w:t>
      </w:r>
      <w:bookmarkStart w:id="12" w:name="dc_2"/>
      <w:r>
        <w:t>khoản 1 Điều 289 của Bộ luật Hình sự</w:t>
      </w:r>
      <w:bookmarkEnd w:id="12"/>
      <w:r>
        <w:t xml:space="preserve"> được hiểu là bao gồm cả hành vi cố ý vượt qua cảnh báo, mã truy cập, tường lửa, sử dụng quyền quản trị của người khác hoặc bằng phương thức khác xâm nhập trái phép vào mạng máy tính, mạng viễn thông hoặc phương tiện điện tử của người khác chiếm đoạt dữ liệu có chứa bí mật kinh doanh, kể cả nghe, đọc, ghi chép, chụp ảnh, ghi âm, ghi hình dữ liệu có chứa bí mật kinh doanh.</w:t>
      </w:r>
    </w:p>
    <w:p w14:paraId="7D72FAA4" w14:textId="77777777" w:rsidR="00864759" w:rsidRDefault="00864759">
      <w:pPr>
        <w:shd w:val="solid" w:color="FFFFFF" w:fill="auto"/>
        <w:spacing w:after="120"/>
      </w:pPr>
      <w:bookmarkStart w:id="13" w:name="dieu_2"/>
      <w:r>
        <w:rPr>
          <w:b/>
          <w:bCs/>
          <w:color w:val="000000"/>
          <w:lang w:val="nb-NO"/>
        </w:rPr>
        <w:t>Điều 2. Tổ chức thực hiện</w:t>
      </w:r>
      <w:bookmarkEnd w:id="13"/>
    </w:p>
    <w:p w14:paraId="3F064E41" w14:textId="77777777" w:rsidR="00864759" w:rsidRDefault="00864759">
      <w:pPr>
        <w:shd w:val="solid" w:color="FFFFFF" w:fill="auto"/>
        <w:spacing w:after="120"/>
      </w:pPr>
      <w:r>
        <w:rPr>
          <w:color w:val="000000"/>
        </w:rPr>
        <w:t>Chính phủ, Tòa án nhân dân tối cao, Viện kiểm sát nhân dân tối cao trong phạm vi chức năng, nhiệm vụ, quyền hạn của mình, có trách nhiệm thi hành Nghị quyết này.</w:t>
      </w:r>
    </w:p>
    <w:p w14:paraId="6FF4E402" w14:textId="77777777" w:rsidR="00864759" w:rsidRDefault="00864759">
      <w:pPr>
        <w:shd w:val="solid" w:color="FFFFFF" w:fill="auto"/>
        <w:spacing w:after="120"/>
      </w:pPr>
      <w:bookmarkStart w:id="14" w:name="dieu_3"/>
      <w:r>
        <w:rPr>
          <w:b/>
          <w:bCs/>
          <w:color w:val="000000"/>
          <w:lang w:val="nb-NO"/>
        </w:rPr>
        <w:t>Điều 3. Hiệu lực thi hành</w:t>
      </w:r>
      <w:bookmarkEnd w:id="14"/>
    </w:p>
    <w:p w14:paraId="20DC1D1C" w14:textId="77777777" w:rsidR="00864759" w:rsidRDefault="00864759">
      <w:pPr>
        <w:shd w:val="solid" w:color="FFFFFF" w:fill="auto"/>
        <w:spacing w:after="120"/>
      </w:pPr>
      <w:r>
        <w:rPr>
          <w:color w:val="000000"/>
          <w:lang w:val="nb-NO"/>
        </w:rPr>
        <w:t>1. Nghị quyết này có hiệu lực thi hành từ ngày 14 tháng 01 năm 2022.</w:t>
      </w:r>
    </w:p>
    <w:p w14:paraId="375582BB" w14:textId="77777777" w:rsidR="00864759" w:rsidRDefault="00864759">
      <w:pPr>
        <w:shd w:val="solid" w:color="FFFFFF" w:fill="auto"/>
        <w:spacing w:after="120"/>
      </w:pPr>
      <w:r>
        <w:rPr>
          <w:color w:val="000000"/>
          <w:lang w:val="nb-NO"/>
        </w:rPr>
        <w:t xml:space="preserve">2. Nghị quyết này được áp dụng cùng với </w:t>
      </w:r>
      <w:bookmarkStart w:id="15" w:name="tvpllink_rabuqzntjc_1"/>
      <w:r>
        <w:rPr>
          <w:color w:val="000000"/>
          <w:lang w:val="nb-NO"/>
        </w:rPr>
        <w:t>Bộ luật Hình sự số 100/2015/QH13</w:t>
      </w:r>
      <w:bookmarkEnd w:id="15"/>
      <w:r>
        <w:rPr>
          <w:color w:val="000000"/>
          <w:lang w:val="nb-NO"/>
        </w:rPr>
        <w:t xml:space="preserve"> đã được sửa đổi, bổ sung một số điều theo Luật số </w:t>
      </w:r>
      <w:bookmarkStart w:id="16" w:name="tvpllink_tedsuyuset_1"/>
      <w:r>
        <w:rPr>
          <w:color w:val="000000"/>
          <w:lang w:val="nb-NO"/>
        </w:rPr>
        <w:t>12/2017/QH14</w:t>
      </w:r>
      <w:bookmarkEnd w:id="16"/>
      <w:r>
        <w:rPr>
          <w:color w:val="000000"/>
          <w:lang w:val="nb-NO"/>
        </w:rPr>
        <w:t>.</w:t>
      </w:r>
    </w:p>
    <w:p w14:paraId="66850551" w14:textId="77777777" w:rsidR="00864759" w:rsidRDefault="00864759">
      <w:pPr>
        <w:shd w:val="solid" w:color="FFFFFF" w:fill="auto"/>
        <w:spacing w:after="120"/>
      </w:pPr>
      <w:r>
        <w:rPr>
          <w:color w:val="000000"/>
          <w:lang w:val="nb-N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4B9E51C" w14:textId="77777777">
        <w:tc>
          <w:tcPr>
            <w:tcW w:w="4068" w:type="dxa"/>
            <w:tcBorders>
              <w:top w:val="nil"/>
              <w:left w:val="nil"/>
              <w:bottom w:val="nil"/>
              <w:right w:val="nil"/>
              <w:tl2br w:val="nil"/>
              <w:tr2bl w:val="nil"/>
            </w:tcBorders>
            <w:tcMar>
              <w:top w:w="0" w:type="dxa"/>
              <w:left w:w="108" w:type="dxa"/>
              <w:bottom w:w="0" w:type="dxa"/>
              <w:right w:w="108" w:type="dxa"/>
            </w:tcMar>
          </w:tcPr>
          <w:p w14:paraId="1829D5E9" w14:textId="77777777" w:rsidR="00864759" w:rsidRDefault="00864759">
            <w:r>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18000B30" w14:textId="77777777" w:rsidR="00864759" w:rsidRDefault="00864759">
            <w:pPr>
              <w:jc w:val="center"/>
            </w:pPr>
            <w:r>
              <w:rPr>
                <w:b/>
                <w:bCs/>
              </w:rPr>
              <w:t>TM. ỦY BAN THƯỜNG VỤ QUỐC HỘI</w:t>
            </w:r>
            <w:r w:rsidRPr="00864759">
              <w:rPr>
                <w:b/>
                <w:bCs/>
              </w:rPr>
              <w:br/>
              <w:t>CHỦ TỊCH</w:t>
            </w:r>
            <w:r w:rsidRPr="00864759">
              <w:rPr>
                <w:b/>
                <w:bCs/>
              </w:rPr>
              <w:br/>
            </w:r>
            <w:r w:rsidRPr="00864759">
              <w:rPr>
                <w:b/>
                <w:bCs/>
              </w:rPr>
              <w:br/>
            </w:r>
            <w:r w:rsidRPr="00864759">
              <w:rPr>
                <w:b/>
                <w:bCs/>
              </w:rPr>
              <w:br/>
            </w:r>
            <w:r w:rsidRPr="00864759">
              <w:rPr>
                <w:b/>
                <w:bCs/>
              </w:rPr>
              <w:lastRenderedPageBreak/>
              <w:br/>
            </w:r>
            <w:r w:rsidRPr="00864759">
              <w:rPr>
                <w:b/>
                <w:bCs/>
              </w:rPr>
              <w:br/>
              <w:t>Vương Đình Huệ</w:t>
            </w:r>
          </w:p>
        </w:tc>
      </w:tr>
    </w:tbl>
    <w:p w14:paraId="7A97579B" w14:textId="77777777" w:rsidR="00864759" w:rsidRDefault="00864759">
      <w:pPr>
        <w:shd w:val="solid" w:color="FFFFFF" w:fill="auto"/>
        <w:spacing w:after="120"/>
      </w:pPr>
      <w:r>
        <w:rPr>
          <w:color w:val="000000"/>
          <w:lang w:val="nb-NO"/>
        </w:rPr>
        <w:lastRenderedPageBreak/>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FCFF" w14:textId="77777777" w:rsidR="00864759" w:rsidRDefault="00864759" w:rsidP="00864759">
      <w:r>
        <w:separator/>
      </w:r>
    </w:p>
  </w:endnote>
  <w:endnote w:type="continuationSeparator" w:id="0">
    <w:p w14:paraId="5A8DE474" w14:textId="77777777" w:rsidR="00864759" w:rsidRDefault="00864759" w:rsidP="0086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A8A9" w14:textId="77777777" w:rsidR="00864759" w:rsidRDefault="00864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AD4B" w14:textId="77777777" w:rsidR="00864759" w:rsidRPr="001E142E" w:rsidRDefault="00864759" w:rsidP="00864759">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08D088EB" w14:textId="56F7F734" w:rsidR="00864759" w:rsidRPr="00864759" w:rsidRDefault="00864759" w:rsidP="00864759">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3892" w14:textId="77777777" w:rsidR="00864759" w:rsidRDefault="0086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6E12" w14:textId="77777777" w:rsidR="00864759" w:rsidRDefault="00864759" w:rsidP="00864759">
      <w:r>
        <w:separator/>
      </w:r>
    </w:p>
  </w:footnote>
  <w:footnote w:type="continuationSeparator" w:id="0">
    <w:p w14:paraId="6CBBF8F8" w14:textId="77777777" w:rsidR="00864759" w:rsidRDefault="00864759" w:rsidP="0086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3E1A" w14:textId="77777777" w:rsidR="00864759" w:rsidRDefault="00864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B963" w14:textId="77777777" w:rsidR="00864759" w:rsidRDefault="00864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7CD" w14:textId="77777777" w:rsidR="00864759" w:rsidRDefault="00864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87"/>
    <w:rsid w:val="00104387"/>
    <w:rsid w:val="00275500"/>
    <w:rsid w:val="00864759"/>
    <w:rsid w:val="00DE6E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A6509"/>
  <w15:chartTrackingRefBased/>
  <w15:docId w15:val="{A2BD8729-C24D-4293-A26B-DF120C9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759"/>
    <w:pPr>
      <w:tabs>
        <w:tab w:val="center" w:pos="4680"/>
        <w:tab w:val="right" w:pos="9360"/>
      </w:tabs>
    </w:pPr>
  </w:style>
  <w:style w:type="character" w:customStyle="1" w:styleId="HeaderChar">
    <w:name w:val="Header Char"/>
    <w:basedOn w:val="DefaultParagraphFont"/>
    <w:link w:val="Header"/>
    <w:uiPriority w:val="99"/>
    <w:rsid w:val="00864759"/>
    <w:rPr>
      <w:sz w:val="24"/>
      <w:szCs w:val="24"/>
    </w:rPr>
  </w:style>
  <w:style w:type="paragraph" w:styleId="Footer">
    <w:name w:val="footer"/>
    <w:basedOn w:val="Normal"/>
    <w:link w:val="FooterChar"/>
    <w:uiPriority w:val="99"/>
    <w:unhideWhenUsed/>
    <w:rsid w:val="00864759"/>
    <w:pPr>
      <w:tabs>
        <w:tab w:val="center" w:pos="4680"/>
        <w:tab w:val="right" w:pos="9360"/>
      </w:tabs>
    </w:pPr>
  </w:style>
  <w:style w:type="character" w:customStyle="1" w:styleId="FooterChar">
    <w:name w:val="Footer Char"/>
    <w:basedOn w:val="DefaultParagraphFont"/>
    <w:link w:val="Footer"/>
    <w:uiPriority w:val="99"/>
    <w:rsid w:val="00864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1548</Characters>
  <Application>Microsoft Office Word</Application>
  <DocSecurity>0</DocSecurity>
  <Lines>12</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2025-10-28T00:01:00Z</dcterms:created>
  <dcterms:modified xsi:type="dcterms:W3CDTF">2025-10-28T00:01:00Z</dcterms:modified>
</cp:coreProperties>
</file>