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00000" w14:paraId="5CDEC531" w14:textId="77777777">
        <w:tc>
          <w:tcPr>
            <w:tcW w:w="3348" w:type="dxa"/>
            <w:tcBorders>
              <w:top w:val="nil"/>
              <w:left w:val="nil"/>
              <w:bottom w:val="nil"/>
              <w:right w:val="nil"/>
              <w:tl2br w:val="nil"/>
              <w:tr2bl w:val="nil"/>
            </w:tcBorders>
            <w:tcMar>
              <w:top w:w="0" w:type="dxa"/>
              <w:left w:w="108" w:type="dxa"/>
              <w:bottom w:w="0" w:type="dxa"/>
              <w:right w:w="108" w:type="dxa"/>
            </w:tcMar>
          </w:tcPr>
          <w:p w14:paraId="4D4D8953" w14:textId="77777777" w:rsidR="003A4DC5" w:rsidRDefault="003A4DC5">
            <w:pPr>
              <w:spacing w:before="120"/>
              <w:jc w:val="center"/>
            </w:pPr>
            <w:r>
              <w:rPr>
                <w:b/>
                <w:bCs/>
              </w:rPr>
              <w:t>HỘI ĐỒNG THẨM PHÁN</w:t>
            </w:r>
            <w:r>
              <w:rPr>
                <w:b/>
                <w:bCs/>
              </w:rPr>
              <w:br/>
              <w:t>TÒA ÁN NHÂN DÂN TỐI CAO</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329A19DB" w14:textId="77777777" w:rsidR="003A4DC5" w:rsidRDefault="003A4DC5">
            <w:pPr>
              <w:spacing w:before="120"/>
              <w:jc w:val="center"/>
            </w:pPr>
            <w:r>
              <w:rPr>
                <w:b/>
                <w:bCs/>
              </w:rPr>
              <w:t>CỘNG HÒA XÃ HỘI CHỦ NGHĨA VIỆT NAM</w:t>
            </w:r>
            <w:r>
              <w:rPr>
                <w:b/>
                <w:bCs/>
              </w:rPr>
              <w:br/>
              <w:t>Độc lập - Tự do - Hạnh phúc</w:t>
            </w:r>
            <w:r>
              <w:rPr>
                <w:b/>
                <w:bCs/>
              </w:rPr>
              <w:br/>
              <w:t>---------------</w:t>
            </w:r>
          </w:p>
        </w:tc>
      </w:tr>
      <w:tr w:rsidR="00000000" w14:paraId="5BFCBA9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93FD273" w14:textId="77777777" w:rsidR="003A4DC5" w:rsidRDefault="003A4DC5">
            <w:pPr>
              <w:spacing w:before="120"/>
              <w:jc w:val="center"/>
            </w:pPr>
            <w:r>
              <w:t>Số: 02/2024/NQ-HĐTP</w:t>
            </w:r>
          </w:p>
        </w:tc>
        <w:tc>
          <w:tcPr>
            <w:tcW w:w="5508" w:type="dxa"/>
            <w:tcBorders>
              <w:top w:val="nil"/>
              <w:left w:val="nil"/>
              <w:bottom w:val="nil"/>
              <w:right w:val="nil"/>
              <w:tl2br w:val="nil"/>
              <w:tr2bl w:val="nil"/>
            </w:tcBorders>
            <w:tcMar>
              <w:top w:w="0" w:type="dxa"/>
              <w:left w:w="108" w:type="dxa"/>
              <w:bottom w:w="0" w:type="dxa"/>
              <w:right w:w="108" w:type="dxa"/>
            </w:tcMar>
          </w:tcPr>
          <w:p w14:paraId="507963F6" w14:textId="77777777" w:rsidR="003A4DC5" w:rsidRDefault="003A4DC5">
            <w:pPr>
              <w:spacing w:before="120"/>
              <w:jc w:val="right"/>
            </w:pPr>
            <w:r>
              <w:rPr>
                <w:i/>
                <w:iCs/>
              </w:rPr>
              <w:t>Hà Nội, ngày 24 tháng 5 năm 2024</w:t>
            </w:r>
          </w:p>
        </w:tc>
      </w:tr>
    </w:tbl>
    <w:p w14:paraId="098E4397" w14:textId="77777777" w:rsidR="003A4DC5" w:rsidRDefault="003A4DC5">
      <w:pPr>
        <w:spacing w:before="120" w:after="280" w:afterAutospacing="1"/>
      </w:pPr>
      <w:r>
        <w:t> </w:t>
      </w:r>
    </w:p>
    <w:p w14:paraId="31C3B573" w14:textId="77777777" w:rsidR="003A4DC5" w:rsidRDefault="003A4DC5">
      <w:pPr>
        <w:spacing w:before="120" w:after="280" w:afterAutospacing="1"/>
        <w:jc w:val="center"/>
      </w:pPr>
      <w:bookmarkStart w:id="0" w:name="loai_1"/>
      <w:r>
        <w:rPr>
          <w:b/>
          <w:bCs/>
        </w:rPr>
        <w:t>NGHỊ QUYẾT</w:t>
      </w:r>
      <w:bookmarkEnd w:id="0"/>
    </w:p>
    <w:p w14:paraId="3C14BC18" w14:textId="77777777" w:rsidR="003A4DC5" w:rsidRDefault="003A4DC5">
      <w:pPr>
        <w:spacing w:before="120" w:after="280" w:afterAutospacing="1"/>
        <w:jc w:val="center"/>
      </w:pPr>
      <w:bookmarkStart w:id="1" w:name="loai_1_name"/>
      <w:r>
        <w:t>HƯỚNG DẪN ÁP DỤNG MỘT SỐ QUY ĐỊNH TẠI ĐIỀU 313 CỦA BỘ LUẬT HÌNH SỰ</w:t>
      </w:r>
      <w:bookmarkEnd w:id="1"/>
    </w:p>
    <w:p w14:paraId="0280AADB" w14:textId="77777777" w:rsidR="003A4DC5" w:rsidRDefault="003A4DC5">
      <w:pPr>
        <w:spacing w:before="120" w:after="280" w:afterAutospacing="1"/>
        <w:jc w:val="center"/>
      </w:pPr>
      <w:r>
        <w:rPr>
          <w:b/>
          <w:bCs/>
        </w:rPr>
        <w:t>HỘI ĐỒNG THẨM PHÁN TÒA ÁN NHÂN DÂN TỐI CAO</w:t>
      </w:r>
    </w:p>
    <w:p w14:paraId="1D2747A3" w14:textId="77777777" w:rsidR="003A4DC5" w:rsidRDefault="003A4DC5">
      <w:pPr>
        <w:spacing w:before="120" w:after="280" w:afterAutospacing="1"/>
      </w:pPr>
      <w:r>
        <w:rPr>
          <w:i/>
          <w:iCs/>
        </w:rPr>
        <w:t xml:space="preserve">Căn cứ </w:t>
      </w:r>
      <w:bookmarkStart w:id="2" w:name="tvpllink_vtybnwesil"/>
      <w:r>
        <w:rPr>
          <w:i/>
          <w:iCs/>
        </w:rPr>
        <w:t>Luật Tổ chức Tòa án nhân dân</w:t>
      </w:r>
      <w:bookmarkEnd w:id="2"/>
      <w:r>
        <w:rPr>
          <w:i/>
          <w:iCs/>
        </w:rPr>
        <w:t xml:space="preserve"> ngày 24 tháng 11 năm 2014;</w:t>
      </w:r>
    </w:p>
    <w:p w14:paraId="06F3F4EA" w14:textId="77777777" w:rsidR="003A4DC5" w:rsidRDefault="003A4DC5">
      <w:pPr>
        <w:spacing w:before="120" w:after="280" w:afterAutospacing="1"/>
      </w:pPr>
      <w:r>
        <w:rPr>
          <w:i/>
          <w:iCs/>
        </w:rPr>
        <w:t xml:space="preserve">Để áp dụng đúng và thống nhất một số quy định tại </w:t>
      </w:r>
      <w:bookmarkStart w:id="3" w:name="dc_1"/>
      <w:r>
        <w:rPr>
          <w:i/>
          <w:iCs/>
        </w:rPr>
        <w:t>Điều 313 của Bộ luật Hình sự số 100/2015/QH13</w:t>
      </w:r>
      <w:bookmarkEnd w:id="3"/>
      <w:r>
        <w:rPr>
          <w:i/>
          <w:iCs/>
        </w:rPr>
        <w:t xml:space="preserve">, được sửa đổi, bổ sung một số điều theo </w:t>
      </w:r>
      <w:bookmarkStart w:id="4" w:name="tvpllink_tedsuyuset"/>
      <w:r>
        <w:rPr>
          <w:i/>
          <w:iCs/>
        </w:rPr>
        <w:t>Luật số 12/2017/QH14</w:t>
      </w:r>
      <w:bookmarkEnd w:id="4"/>
      <w:r>
        <w:rPr>
          <w:i/>
          <w:iCs/>
        </w:rPr>
        <w:t>;</w:t>
      </w:r>
    </w:p>
    <w:p w14:paraId="58075E11" w14:textId="77777777" w:rsidR="003A4DC5" w:rsidRDefault="003A4DC5">
      <w:pPr>
        <w:spacing w:before="120" w:after="280" w:afterAutospacing="1"/>
      </w:pPr>
      <w:r>
        <w:rPr>
          <w:i/>
          <w:iCs/>
        </w:rPr>
        <w:t>Sau khi có ý kiến của Viện trưởng Viện kiểm sát nhân dân tối cao và Bộ trưởng Bộ Tư pháp,</w:t>
      </w:r>
    </w:p>
    <w:p w14:paraId="2DB0A0B2" w14:textId="77777777" w:rsidR="003A4DC5" w:rsidRDefault="003A4DC5">
      <w:pPr>
        <w:spacing w:before="120" w:after="280" w:afterAutospacing="1"/>
        <w:jc w:val="center"/>
      </w:pPr>
      <w:r>
        <w:rPr>
          <w:b/>
          <w:bCs/>
        </w:rPr>
        <w:t>QUYẾT NGHỊ:</w:t>
      </w:r>
    </w:p>
    <w:p w14:paraId="6C11A36E" w14:textId="77777777" w:rsidR="003A4DC5" w:rsidRDefault="003A4DC5">
      <w:pPr>
        <w:spacing w:before="120" w:after="280" w:afterAutospacing="1"/>
      </w:pPr>
      <w:bookmarkStart w:id="5" w:name="dieu_1"/>
      <w:r>
        <w:rPr>
          <w:b/>
          <w:bCs/>
        </w:rPr>
        <w:t>Điều 1. Phạm vi điều chỉnh</w:t>
      </w:r>
      <w:bookmarkEnd w:id="5"/>
    </w:p>
    <w:p w14:paraId="7BB799D6" w14:textId="77777777" w:rsidR="003A4DC5" w:rsidRDefault="003A4DC5">
      <w:pPr>
        <w:spacing w:before="120" w:after="280" w:afterAutospacing="1"/>
      </w:pPr>
      <w:r>
        <w:t xml:space="preserve">Nghị quyết này hướng dẫn áp dụng một số quy định tại </w:t>
      </w:r>
      <w:bookmarkStart w:id="6" w:name="dc_2"/>
      <w:r>
        <w:t>Điều 313 của Bộ luật Hình sự số 100/2015/QH13</w:t>
      </w:r>
      <w:bookmarkEnd w:id="6"/>
      <w:r>
        <w:t xml:space="preserve"> được sửa đổi, bổ sung một số điều theo </w:t>
      </w:r>
      <w:bookmarkStart w:id="7" w:name="tvpllink_tedsuyuset_1"/>
      <w:r>
        <w:t>Luật số 12/2017/QH14</w:t>
      </w:r>
      <w:bookmarkEnd w:id="7"/>
      <w:r>
        <w:t xml:space="preserve"> (sau đây gọi là Bộ luật Hình sự) về tội vi phạm quy định về phòng cháy, chữa cháy.</w:t>
      </w:r>
    </w:p>
    <w:p w14:paraId="4D958FB7" w14:textId="77777777" w:rsidR="003A4DC5" w:rsidRDefault="003A4DC5">
      <w:pPr>
        <w:spacing w:before="120" w:after="280" w:afterAutospacing="1"/>
      </w:pPr>
      <w:bookmarkStart w:id="8" w:name="dieu_2"/>
      <w:r>
        <w:rPr>
          <w:b/>
          <w:bCs/>
        </w:rPr>
        <w:t>Điều 2. Vi phạm quy định về phòng cháy, chữa cháy</w:t>
      </w:r>
      <w:bookmarkEnd w:id="8"/>
    </w:p>
    <w:p w14:paraId="7DB74BC0" w14:textId="77777777" w:rsidR="003A4DC5" w:rsidRDefault="003A4DC5">
      <w:pPr>
        <w:spacing w:before="120" w:after="280" w:afterAutospacing="1"/>
      </w:pPr>
      <w:r>
        <w:t xml:space="preserve">Vi phạm quy định về phòng cháy, chữa cháy quy định tại </w:t>
      </w:r>
      <w:bookmarkStart w:id="9" w:name="dc_3"/>
      <w:r>
        <w:t>Điều 313 của Bộ luật Hình sự</w:t>
      </w:r>
      <w:bookmarkEnd w:id="9"/>
      <w:r>
        <w:t xml:space="preserve"> bao gồm:</w:t>
      </w:r>
    </w:p>
    <w:p w14:paraId="7BE1F0A5" w14:textId="77777777" w:rsidR="003A4DC5" w:rsidRDefault="003A4DC5">
      <w:pPr>
        <w:spacing w:before="120" w:after="280" w:afterAutospacing="1"/>
      </w:pPr>
      <w:r>
        <w:t xml:space="preserve">1. Hành vi vi phạm quy định về phòng cháy, chữa cháy theo quy định của </w:t>
      </w:r>
      <w:bookmarkStart w:id="10" w:name="tvpllink_vcxpttecjf"/>
      <w:r>
        <w:t>Luật Phòng cháy, chữa cháy</w:t>
      </w:r>
      <w:bookmarkEnd w:id="10"/>
      <w:r>
        <w:t>;</w:t>
      </w:r>
    </w:p>
    <w:p w14:paraId="25D9D95D" w14:textId="77777777" w:rsidR="003A4DC5" w:rsidRDefault="003A4DC5">
      <w:pPr>
        <w:spacing w:before="120" w:after="280" w:afterAutospacing="1"/>
      </w:pPr>
      <w:r>
        <w:t>2. Hành vi vi phạm quy định về phòng cháy, chữa cháy theo quy định của pháp luật khác có liên quan.</w:t>
      </w:r>
    </w:p>
    <w:p w14:paraId="31747C29" w14:textId="77777777" w:rsidR="003A4DC5" w:rsidRDefault="003A4DC5">
      <w:pPr>
        <w:spacing w:before="120" w:after="280" w:afterAutospacing="1"/>
      </w:pPr>
      <w:bookmarkStart w:id="11" w:name="dieu_3"/>
      <w:r>
        <w:rPr>
          <w:b/>
          <w:bCs/>
        </w:rPr>
        <w:t>Điều 3. Truy cứu trách nhiệm hình sự theo quy định tại các</w:t>
      </w:r>
      <w:bookmarkEnd w:id="11"/>
      <w:r>
        <w:rPr>
          <w:b/>
          <w:bCs/>
        </w:rPr>
        <w:t xml:space="preserve"> </w:t>
      </w:r>
      <w:bookmarkStart w:id="12" w:name="dc_4"/>
      <w:r>
        <w:rPr>
          <w:b/>
          <w:bCs/>
        </w:rPr>
        <w:t>khoản 1, 2 và 3 Điều 313 của Bộ luật Hình sự</w:t>
      </w:r>
      <w:bookmarkEnd w:id="12"/>
    </w:p>
    <w:p w14:paraId="5CCBED49" w14:textId="77777777" w:rsidR="003A4DC5" w:rsidRDefault="003A4DC5" w:rsidP="003A4DC5">
      <w:pPr>
        <w:spacing w:before="120" w:after="100" w:afterAutospacing="1"/>
      </w:pPr>
      <w:r>
        <w:t xml:space="preserve">Người nào vi phạm quy định về phòng cháy, chữa cháy thì bị truy cứu trách nhiệm hình sự theo quy định tại các </w:t>
      </w:r>
      <w:bookmarkStart w:id="13" w:name="dc_5"/>
      <w:r>
        <w:t>khoản 1, 2 và 3 Điều 313 của Bộ luật Hình sự</w:t>
      </w:r>
      <w:bookmarkEnd w:id="13"/>
      <w:r>
        <w:t xml:space="preserve"> khi có đủ các điều kiện sau đây:</w:t>
      </w:r>
    </w:p>
    <w:p w14:paraId="165AF2CC" w14:textId="77777777" w:rsidR="003A4DC5" w:rsidRDefault="003A4DC5">
      <w:pPr>
        <w:spacing w:before="120" w:after="280" w:afterAutospacing="1"/>
      </w:pPr>
      <w:r>
        <w:lastRenderedPageBreak/>
        <w:t>1. Thực hiện một hoặc nhiều hành vi hướng dẫn tại Điều 2 Nghị quyết này;</w:t>
      </w:r>
    </w:p>
    <w:p w14:paraId="3A213774" w14:textId="77777777" w:rsidR="003A4DC5" w:rsidRDefault="003A4DC5">
      <w:pPr>
        <w:spacing w:before="120" w:after="280" w:afterAutospacing="1"/>
      </w:pPr>
      <w:r>
        <w:t xml:space="preserve">2. Có thiệt hại xảy ra theo quy định tại một trong các </w:t>
      </w:r>
      <w:bookmarkStart w:id="14" w:name="dc_6"/>
      <w:r>
        <w:t>khoản 1, 2 và 3 Điều 313 của Bộ luật Hình sự</w:t>
      </w:r>
      <w:bookmarkEnd w:id="14"/>
      <w:r>
        <w:t>;</w:t>
      </w:r>
    </w:p>
    <w:p w14:paraId="27593196" w14:textId="77777777" w:rsidR="003A4DC5" w:rsidRDefault="003A4DC5">
      <w:pPr>
        <w:spacing w:before="120" w:after="280" w:afterAutospacing="1"/>
      </w:pPr>
      <w:r>
        <w:t>3. Hành vi vi phạm phải có mối quan hệ nhân quả với thiệt hại xảy ra. Thiệt hại xảy ra phải là hậu quả tất yếu của hành vi vi phạm và ngược lại hành vi vi phạm là nguyên nhân gây ra thiệt hại.</w:t>
      </w:r>
    </w:p>
    <w:p w14:paraId="23D0162B" w14:textId="77777777" w:rsidR="003A4DC5" w:rsidRDefault="003A4DC5">
      <w:pPr>
        <w:spacing w:before="120" w:after="280" w:afterAutospacing="1"/>
      </w:pPr>
      <w:bookmarkStart w:id="15" w:name="dieu_4"/>
      <w:r>
        <w:rPr>
          <w:b/>
          <w:bCs/>
        </w:rPr>
        <w:t>Điều 4. Truy cứu trách nhiệm hình sự theo quy định tại</w:t>
      </w:r>
      <w:bookmarkEnd w:id="15"/>
      <w:r>
        <w:rPr>
          <w:b/>
          <w:bCs/>
        </w:rPr>
        <w:t xml:space="preserve"> </w:t>
      </w:r>
      <w:bookmarkStart w:id="16" w:name="dc_7"/>
      <w:r>
        <w:rPr>
          <w:b/>
          <w:bCs/>
        </w:rPr>
        <w:t>khoản 4 Điều 313 của Bô luật Hình sự</w:t>
      </w:r>
      <w:bookmarkEnd w:id="16"/>
    </w:p>
    <w:p w14:paraId="00EF3ED3" w14:textId="77777777" w:rsidR="003A4DC5" w:rsidRDefault="003A4DC5">
      <w:pPr>
        <w:spacing w:before="120" w:after="280" w:afterAutospacing="1"/>
      </w:pPr>
      <w:r>
        <w:t>1. “</w:t>
      </w:r>
      <w:r>
        <w:rPr>
          <w:i/>
          <w:iCs/>
        </w:rPr>
        <w:t>Vi phạm quy định về phòng cháy, chữa cháy trong trường hợp có khả năng thực tế dẫn đến hậu quả quy định tại một trong các điểm a, b và c khoản 3 Điều này nếu không được ngăn chặn kịp thời</w:t>
      </w:r>
      <w:r>
        <w:t xml:space="preserve">” quy định tại </w:t>
      </w:r>
      <w:bookmarkStart w:id="17" w:name="dc_8"/>
      <w:r>
        <w:t>khoản 4 Điều 313 của Bộ luật Hình sự</w:t>
      </w:r>
      <w:bookmarkEnd w:id="17"/>
      <w:r>
        <w:t xml:space="preserve"> là hành vi vi phạm hướng dẫn tại Điều 2 Nghị quyết này mà thuộc một trong các trường hợp sau đây:</w:t>
      </w:r>
    </w:p>
    <w:p w14:paraId="7549D7E6" w14:textId="77777777" w:rsidR="003A4DC5" w:rsidRDefault="003A4DC5">
      <w:pPr>
        <w:spacing w:before="120" w:after="280" w:afterAutospacing="1"/>
      </w:pPr>
      <w:r>
        <w:t xml:space="preserve">a) Chưa xảy ra cháy nhưng nếu không được ngăn chặn kịp thời thì chắc chắn sẽ cháy và dẫn đến thiệt hại quy định tại một trong các </w:t>
      </w:r>
      <w:bookmarkStart w:id="18" w:name="dc_9"/>
      <w:r>
        <w:t>điểm a, b và c khoản 3 Điều 313 của Bộ luật Hình sự</w:t>
      </w:r>
      <w:bookmarkEnd w:id="18"/>
      <w:r>
        <w:t>;</w:t>
      </w:r>
    </w:p>
    <w:p w14:paraId="2CEC9C0D" w14:textId="77777777" w:rsidR="003A4DC5" w:rsidRDefault="003A4DC5">
      <w:pPr>
        <w:spacing w:before="120" w:after="280" w:afterAutospacing="1"/>
      </w:pPr>
      <w:r>
        <w:t xml:space="preserve">b) Đã xảy ra cháy và tất yếu sẽ dẫn đến hậu quả quy định tại một trong các </w:t>
      </w:r>
      <w:bookmarkStart w:id="19" w:name="dc_10"/>
      <w:r>
        <w:t>điểm a, b và c khoản 3 Điều 313 của Bộ luật Hình sự</w:t>
      </w:r>
      <w:bookmarkEnd w:id="19"/>
      <w:r>
        <w:t xml:space="preserve"> nhưng do được ngăn chặn kịp thời nên thiệt hại dưới mức quy định tại </w:t>
      </w:r>
      <w:bookmarkStart w:id="20" w:name="dc_11"/>
      <w:r>
        <w:t>khoản 1 Điều 313 của Bộ luật Hình sự</w:t>
      </w:r>
      <w:bookmarkEnd w:id="20"/>
      <w:r>
        <w:t>.</w:t>
      </w:r>
    </w:p>
    <w:p w14:paraId="0C2B69BB" w14:textId="77777777" w:rsidR="003A4DC5" w:rsidRDefault="003A4DC5">
      <w:pPr>
        <w:spacing w:before="120" w:after="280" w:afterAutospacing="1"/>
      </w:pPr>
      <w:r>
        <w:t>2. “</w:t>
      </w:r>
      <w:r>
        <w:rPr>
          <w:i/>
          <w:iCs/>
        </w:rPr>
        <w:t>Ngăn chặn kịp thời</w:t>
      </w:r>
      <w:r>
        <w:t xml:space="preserve">” là trường hợp cơ quan, tổ chức, cá nhân thực hiện các biện pháp ngăn chặn ngay sau khi có hành vi vi phạm quy định về phòng cháy, chữa cháy như: dập tắt đám cháy, di chuyển chất nguy hiểm về cháy ra khỏi nơi đông người, mang nguồn lửa, nguồn nhiệt ra khỏi nơi có quy định cấm,... để không xảy ra cháy hoặc đã xảy ra cháy nhưng thiệt hại dưới mức quy định tại </w:t>
      </w:r>
      <w:bookmarkStart w:id="21" w:name="dc_12"/>
      <w:r>
        <w:t>khoản 1 Điều 313 của Bộ luật Hình sự</w:t>
      </w:r>
      <w:bookmarkEnd w:id="21"/>
      <w:r>
        <w:t>.</w:t>
      </w:r>
    </w:p>
    <w:p w14:paraId="7883D796" w14:textId="77777777" w:rsidR="003A4DC5" w:rsidRDefault="003A4DC5">
      <w:pPr>
        <w:spacing w:before="120" w:after="280" w:afterAutospacing="1"/>
      </w:pPr>
      <w:r>
        <w:t xml:space="preserve">Ví dụ: khi vào đổ xăng, A đang hút thuốc lá (lúc này tại cây xăng có 10 người). B yêu cầu A ra </w:t>
      </w:r>
      <w:r>
        <w:t xml:space="preserve">ngoài dập tắt thuốc nhưng A không thực hiện mà còn ném điếu thuốc lá đang cháy xuống đất làm lửa bùng cháy, ngay lập tức B đã dùng bình cứu hỏa để dập tắt đám cháy nên chưa có hậu quả xảy ra. Hành vi của A vi phạm quy định về “mang nguồn lửa vào nơi có quy định cấm lửa” và bị truy cứu trách nhiệm hình sự theo quy định tại </w:t>
      </w:r>
      <w:bookmarkStart w:id="22" w:name="dc_13"/>
      <w:r>
        <w:t>khoản 4 Điều 313 của Bộ luật Hình sự</w:t>
      </w:r>
      <w:bookmarkEnd w:id="22"/>
      <w:r>
        <w:t>.</w:t>
      </w:r>
    </w:p>
    <w:p w14:paraId="74F29F95" w14:textId="77777777" w:rsidR="003A4DC5" w:rsidRDefault="003A4DC5">
      <w:pPr>
        <w:spacing w:before="120" w:after="280" w:afterAutospacing="1"/>
      </w:pPr>
      <w:bookmarkStart w:id="23" w:name="dieu_5"/>
      <w:r>
        <w:rPr>
          <w:b/>
          <w:bCs/>
        </w:rPr>
        <w:t>Điều 5. Truy cứu trách nhiệm hình sự trong một số trường hợp cụ thể</w:t>
      </w:r>
      <w:bookmarkEnd w:id="23"/>
    </w:p>
    <w:p w14:paraId="1AE10E58" w14:textId="77777777" w:rsidR="003A4DC5" w:rsidRDefault="003A4DC5">
      <w:pPr>
        <w:spacing w:before="120" w:after="280" w:afterAutospacing="1"/>
      </w:pPr>
      <w:r>
        <w:t xml:space="preserve">1. Trường hợp người phạm tội thực hiện công việc bắt buộc phải tuân theo quy định về an toàn lao động, vệ sinh lao động, về an toàn ở nơi đông người nhưng trong quá trình thực hiện họ vi phạm quy định về an toàn lao động, vệ sinh lao động, về an toàn ở nơi đông người xảy ra cháy và gây thiệt hại thì bị truy cứu trách nhiệm hình sự theo quy định tại </w:t>
      </w:r>
      <w:bookmarkStart w:id="24" w:name="dc_14"/>
      <w:r>
        <w:t>Điều 313 của Bộ luật Hình sự</w:t>
      </w:r>
      <w:bookmarkEnd w:id="24"/>
      <w:r>
        <w:t xml:space="preserve"> mà không bị truy cứu trách nhiệm hình sự theo quy định tại </w:t>
      </w:r>
      <w:bookmarkStart w:id="25" w:name="dc_15"/>
      <w:r>
        <w:t>Điều 295 của Bộ luật Hình sự</w:t>
      </w:r>
      <w:bookmarkEnd w:id="25"/>
      <w:r>
        <w:t>.</w:t>
      </w:r>
    </w:p>
    <w:p w14:paraId="46EFF925" w14:textId="77777777" w:rsidR="003A4DC5" w:rsidRDefault="003A4DC5">
      <w:pPr>
        <w:spacing w:before="120" w:after="280" w:afterAutospacing="1"/>
      </w:pPr>
      <w:r>
        <w:t xml:space="preserve">Ví dụ: A được B thuê hàn mái nhà các phòng Karaoke. Trong quá trình hàn, A không trang bị tấm chắn tia kim loại nóng chảy bắn ra, đồng thời không theo dõi quá trình hàn một cách an toàn </w:t>
      </w:r>
      <w:r>
        <w:lastRenderedPageBreak/>
        <w:t xml:space="preserve">nên khi các hạt kim loại nóng mang nhiệt độ cao bắn ra xung quanh đã hình thành các đám cháy lớn gây thiệt hại về tài sản 1.000.000.000 đồng. Hành vi của A đã vi phạm quy định tại Mục 2.2.12 Quy chuẩn kỹ thuật quốc gia QCVN 03:2011/BLĐTBXH ngày 29 tháng 7 năm 2011 của Bộ Lao động - Thương binh và Xã hội về an toàn lao động đối với máy hàn điện và công việc hàn điện. Trường hợp này, A bị truy cứu trách nhiệm hình sự theo quy định tại </w:t>
      </w:r>
      <w:bookmarkStart w:id="26" w:name="dc_16"/>
      <w:r>
        <w:t>Điều 313 của Bộ luật Hình sự</w:t>
      </w:r>
      <w:bookmarkEnd w:id="26"/>
      <w:r>
        <w:t>.</w:t>
      </w:r>
    </w:p>
    <w:p w14:paraId="7F35DC9A" w14:textId="77777777" w:rsidR="003A4DC5" w:rsidRDefault="003A4DC5">
      <w:pPr>
        <w:spacing w:before="120" w:after="280" w:afterAutospacing="1"/>
      </w:pPr>
      <w:r>
        <w:t xml:space="preserve">2. Trường hợp người phạm tội thực hiện nhiều </w:t>
      </w:r>
      <w:r>
        <w:t xml:space="preserve">lần hành vi phạm tội, nếu mỗi lần phạm tội có đủ yếu tố cấu thành tội phạm nhưng đều chưa bị truy cứu trách nhiệm hình sự và chưa hết thời hiệu truy cứu trách nhiệm hình sự thì ngoài việc bị áp dụng khung hình phạt tương ứng với tổng số thiệt hại của các lần phạm tội, còn bị áp dụng tình tiết tăng nặng trách nhiệm hình sự “phạm tội từ 02 lần trở lên” quy định tại </w:t>
      </w:r>
      <w:bookmarkStart w:id="27" w:name="dc_17"/>
      <w:r>
        <w:t>điểm g khoản 1 Điều 52 của Bộ luật Hình sự</w:t>
      </w:r>
      <w:bookmarkEnd w:id="27"/>
      <w:r>
        <w:t>.</w:t>
      </w:r>
    </w:p>
    <w:p w14:paraId="505CE9D1" w14:textId="77777777" w:rsidR="003A4DC5" w:rsidRDefault="003A4DC5">
      <w:pPr>
        <w:spacing w:before="120" w:after="280" w:afterAutospacing="1"/>
      </w:pPr>
      <w:bookmarkStart w:id="28" w:name="dieu_6"/>
      <w:r>
        <w:rPr>
          <w:b/>
          <w:bCs/>
        </w:rPr>
        <w:t>Điều 6. Hiệu lực thi hành</w:t>
      </w:r>
      <w:bookmarkEnd w:id="28"/>
    </w:p>
    <w:p w14:paraId="1782EA18" w14:textId="77777777" w:rsidR="003A4DC5" w:rsidRDefault="003A4DC5">
      <w:pPr>
        <w:spacing w:before="120" w:after="280" w:afterAutospacing="1"/>
      </w:pPr>
      <w:r>
        <w:t>Nghị quyết này đã được Hội đồng Thẩm phán Tòa án nhân dân tối cao thông qua ngày 24 tháng 4 năm 2024 và có hiệu lực thi hành kể từ ngày 18 tháng 6 năm 2024./.</w:t>
      </w:r>
    </w:p>
    <w:p w14:paraId="145B552A" w14:textId="77777777" w:rsidR="003A4DC5" w:rsidRDefault="003A4DC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EFBF570" w14:textId="77777777">
        <w:tc>
          <w:tcPr>
            <w:tcW w:w="4428" w:type="dxa"/>
            <w:tcBorders>
              <w:top w:val="nil"/>
              <w:left w:val="nil"/>
              <w:bottom w:val="nil"/>
              <w:right w:val="nil"/>
              <w:tl2br w:val="nil"/>
              <w:tr2bl w:val="nil"/>
            </w:tcBorders>
            <w:tcMar>
              <w:top w:w="0" w:type="dxa"/>
              <w:left w:w="108" w:type="dxa"/>
              <w:bottom w:w="0" w:type="dxa"/>
              <w:right w:w="108" w:type="dxa"/>
            </w:tcMar>
          </w:tcPr>
          <w:p w14:paraId="0EDEF9D0" w14:textId="77777777" w:rsidR="003A4DC5" w:rsidRDefault="003A4DC5">
            <w:pPr>
              <w:spacing w:before="120"/>
            </w:pPr>
            <w:r>
              <w:rPr>
                <w:b/>
                <w:bCs/>
                <w:i/>
                <w:iCs/>
              </w:rPr>
              <w:br/>
              <w:t>Nơi nhận:</w:t>
            </w:r>
            <w:r>
              <w:rPr>
                <w:b/>
                <w:bCs/>
                <w:i/>
                <w:iCs/>
              </w:rPr>
              <w:br/>
            </w:r>
            <w:r>
              <w:rPr>
                <w:sz w:val="16"/>
              </w:rPr>
              <w:t>- Ủy ban Thường vụ Quốc hội (để giám sát);</w:t>
            </w:r>
            <w:r>
              <w:rPr>
                <w:sz w:val="16"/>
              </w:rPr>
              <w:br/>
              <w:t>- Ủy ban Pháp luật của Quốc hội (để giám sát);</w:t>
            </w:r>
            <w:r>
              <w:rPr>
                <w:sz w:val="16"/>
              </w:rPr>
              <w:br/>
              <w:t>- Ủy ban Tư pháp của Quốc hội (để giám sát);</w:t>
            </w:r>
            <w:r>
              <w:rPr>
                <w:sz w:val="16"/>
              </w:rPr>
              <w:br/>
              <w:t>- Ban Dân nguyện thuộc UBTVQH;</w:t>
            </w:r>
            <w:r>
              <w:rPr>
                <w:sz w:val="16"/>
              </w:rPr>
              <w:br/>
              <w:t>- Ban Nội chính Trung ương (để báo cáo);</w:t>
            </w:r>
            <w:r>
              <w:rPr>
                <w:sz w:val="16"/>
              </w:rPr>
              <w:br/>
              <w:t>- Văn phòng Trung ương Đảng (để báo cáo);</w:t>
            </w:r>
            <w:r>
              <w:rPr>
                <w:sz w:val="16"/>
              </w:rPr>
              <w:br/>
              <w:t>- Văn phòng Chủ tịch nước (để báo cáo);</w:t>
            </w:r>
            <w:r>
              <w:rPr>
                <w:sz w:val="16"/>
              </w:rPr>
              <w:br/>
              <w:t>- Văn phòng Chính phủ 02 bản (để đăng Công báo);</w:t>
            </w:r>
            <w:r>
              <w:rPr>
                <w:sz w:val="16"/>
              </w:rPr>
              <w:br/>
              <w:t>- Viện kiểm sát nhân dân tối cao (để phối hợp);</w:t>
            </w:r>
            <w:r>
              <w:rPr>
                <w:sz w:val="16"/>
              </w:rPr>
              <w:br/>
              <w:t>- Bộ Tư pháp (để phối hợp);</w:t>
            </w:r>
            <w:r>
              <w:rPr>
                <w:sz w:val="16"/>
              </w:rPr>
              <w:br/>
              <w:t>- Bộ Công an (để phối hợp);</w:t>
            </w:r>
            <w:r>
              <w:rPr>
                <w:sz w:val="16"/>
              </w:rPr>
              <w:br/>
              <w:t>- Các TAND và TAQS các cấp (để thực hiện);</w:t>
            </w:r>
            <w:r>
              <w:rPr>
                <w:sz w:val="16"/>
              </w:rPr>
              <w:br/>
              <w:t>- Các Thẩm phán và các đơn</w:t>
            </w:r>
            <w:r>
              <w:rPr>
                <w:sz w:val="16"/>
              </w:rPr>
              <w:t xml:space="preserve"> vị TANDTC (để thực hiện);</w:t>
            </w:r>
            <w:r>
              <w:rPr>
                <w:sz w:val="16"/>
              </w:rPr>
              <w:br/>
              <w:t>- Cổng thông tin điện tử TANDTC (để đăng tải);</w:t>
            </w:r>
            <w:r>
              <w:rPr>
                <w:sz w:val="16"/>
              </w:rPr>
              <w:br/>
              <w:t>- Lưu: VT, Vụ PC&amp;QLKH TANDTC.</w:t>
            </w:r>
          </w:p>
        </w:tc>
        <w:tc>
          <w:tcPr>
            <w:tcW w:w="4428" w:type="dxa"/>
            <w:tcBorders>
              <w:top w:val="nil"/>
              <w:left w:val="nil"/>
              <w:bottom w:val="nil"/>
              <w:right w:val="nil"/>
              <w:tl2br w:val="nil"/>
              <w:tr2bl w:val="nil"/>
            </w:tcBorders>
            <w:tcMar>
              <w:top w:w="0" w:type="dxa"/>
              <w:left w:w="108" w:type="dxa"/>
              <w:bottom w:w="0" w:type="dxa"/>
              <w:right w:w="108" w:type="dxa"/>
            </w:tcMar>
          </w:tcPr>
          <w:p w14:paraId="1B2253F7" w14:textId="77777777" w:rsidR="003A4DC5" w:rsidRDefault="003A4DC5">
            <w:pPr>
              <w:spacing w:before="120"/>
              <w:jc w:val="center"/>
            </w:pPr>
            <w:r>
              <w:rPr>
                <w:b/>
                <w:bCs/>
              </w:rPr>
              <w:t>TM. HỘI ĐỒNG THẨM PHÁN</w:t>
            </w:r>
            <w:r>
              <w:rPr>
                <w:b/>
                <w:bCs/>
              </w:rPr>
              <w:br/>
              <w:t>CHÁNH ÁN</w:t>
            </w:r>
            <w:r>
              <w:rPr>
                <w:b/>
                <w:bCs/>
              </w:rPr>
              <w:br/>
            </w:r>
            <w:r>
              <w:rPr>
                <w:b/>
                <w:bCs/>
              </w:rPr>
              <w:br/>
            </w:r>
            <w:r>
              <w:rPr>
                <w:b/>
                <w:bCs/>
              </w:rPr>
              <w:br/>
            </w:r>
            <w:r>
              <w:rPr>
                <w:b/>
                <w:bCs/>
              </w:rPr>
              <w:br/>
            </w:r>
            <w:r>
              <w:rPr>
                <w:b/>
                <w:bCs/>
              </w:rPr>
              <w:br/>
              <w:t>Nguyễn Hòa Bình</w:t>
            </w:r>
          </w:p>
        </w:tc>
      </w:tr>
    </w:tbl>
    <w:p w14:paraId="730380D5" w14:textId="77777777" w:rsidR="003A4DC5" w:rsidRDefault="003A4DC5">
      <w:pPr>
        <w:spacing w:before="120" w:after="280" w:afterAutospacing="1"/>
      </w:pPr>
      <w:r>
        <w:t> </w:t>
      </w:r>
    </w:p>
    <w:sectPr w:rsidR="00000000" w:rsidSect="003A4D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6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2CA5" w14:textId="77777777" w:rsidR="003A4DC5" w:rsidRDefault="003A4DC5" w:rsidP="003A4DC5">
      <w:r>
        <w:separator/>
      </w:r>
    </w:p>
  </w:endnote>
  <w:endnote w:type="continuationSeparator" w:id="0">
    <w:p w14:paraId="4945F092" w14:textId="77777777" w:rsidR="003A4DC5" w:rsidRDefault="003A4DC5" w:rsidP="003A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260A" w14:textId="77777777" w:rsidR="003A4DC5" w:rsidRDefault="003A4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A7AD" w14:textId="77777777" w:rsidR="003A4DC5" w:rsidRPr="001E142E" w:rsidRDefault="003A4DC5" w:rsidP="003A4DC5">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718B22B5" w14:textId="7F1CD970" w:rsidR="003A4DC5" w:rsidRPr="003A4DC5" w:rsidRDefault="003A4DC5" w:rsidP="003A4DC5">
    <w:pPr>
      <w:pStyle w:val="Footer"/>
      <w:tabs>
        <w:tab w:val="left" w:pos="824"/>
      </w:tabs>
      <w:jc w:val="both"/>
      <w:rPr>
        <w:color w:val="2C3579"/>
        <w:sz w:val="14"/>
        <w:szCs w:val="14"/>
        <w:lang w:val="vi-VN"/>
      </w:rPr>
    </w:pPr>
    <w:r>
      <w:rPr>
        <w:color w:val="2C3579"/>
        <w:sz w:val="14"/>
        <w:szCs w:val="14"/>
        <w:lang w:val="vi-VN"/>
      </w:rPr>
      <w:tab/>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5BEA" w14:textId="77777777" w:rsidR="003A4DC5" w:rsidRDefault="003A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522BE" w14:textId="77777777" w:rsidR="003A4DC5" w:rsidRDefault="003A4DC5" w:rsidP="003A4DC5">
      <w:r>
        <w:separator/>
      </w:r>
    </w:p>
  </w:footnote>
  <w:footnote w:type="continuationSeparator" w:id="0">
    <w:p w14:paraId="1E8DEEE3" w14:textId="77777777" w:rsidR="003A4DC5" w:rsidRDefault="003A4DC5" w:rsidP="003A4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22BE" w14:textId="77777777" w:rsidR="003A4DC5" w:rsidRDefault="003A4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9794" w14:textId="77777777" w:rsidR="003A4DC5" w:rsidRDefault="003A4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208B" w14:textId="77777777" w:rsidR="003A4DC5" w:rsidRDefault="003A4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C7"/>
    <w:rsid w:val="00191E40"/>
    <w:rsid w:val="003A4DC5"/>
    <w:rsid w:val="00D924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906F5"/>
  <w15:chartTrackingRefBased/>
  <w15:docId w15:val="{B289505F-B8F7-4873-9ED9-6B835DEE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DC5"/>
    <w:pPr>
      <w:tabs>
        <w:tab w:val="center" w:pos="4680"/>
        <w:tab w:val="right" w:pos="9360"/>
      </w:tabs>
    </w:pPr>
  </w:style>
  <w:style w:type="character" w:customStyle="1" w:styleId="HeaderChar">
    <w:name w:val="Header Char"/>
    <w:basedOn w:val="DefaultParagraphFont"/>
    <w:link w:val="Header"/>
    <w:uiPriority w:val="99"/>
    <w:rsid w:val="003A4DC5"/>
    <w:rPr>
      <w:sz w:val="24"/>
      <w:szCs w:val="24"/>
    </w:rPr>
  </w:style>
  <w:style w:type="paragraph" w:styleId="Footer">
    <w:name w:val="footer"/>
    <w:basedOn w:val="Normal"/>
    <w:link w:val="FooterChar"/>
    <w:uiPriority w:val="99"/>
    <w:unhideWhenUsed/>
    <w:rsid w:val="003A4DC5"/>
    <w:pPr>
      <w:tabs>
        <w:tab w:val="center" w:pos="4680"/>
        <w:tab w:val="right" w:pos="9360"/>
      </w:tabs>
    </w:pPr>
  </w:style>
  <w:style w:type="character" w:customStyle="1" w:styleId="FooterChar">
    <w:name w:val="Footer Char"/>
    <w:basedOn w:val="DefaultParagraphFont"/>
    <w:link w:val="Footer"/>
    <w:uiPriority w:val="99"/>
    <w:rsid w:val="003A4D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1386</Words>
  <Characters>4756</Characters>
  <Application>Microsoft Office Word</Application>
  <DocSecurity>0</DocSecurity>
  <Lines>39</Lines>
  <Paragraphs>12</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2025-10-27T23:33:00Z</dcterms:created>
  <dcterms:modified xsi:type="dcterms:W3CDTF">2025-10-27T23:34:00Z</dcterms:modified>
</cp:coreProperties>
</file>