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4825E7" w14:textId="77777777">
        <w:tc>
          <w:tcPr>
            <w:tcW w:w="3348" w:type="dxa"/>
            <w:tcBorders>
              <w:top w:val="nil"/>
              <w:left w:val="nil"/>
              <w:bottom w:val="nil"/>
              <w:right w:val="nil"/>
              <w:tl2br w:val="nil"/>
              <w:tr2bl w:val="nil"/>
            </w:tcBorders>
            <w:tcMar>
              <w:top w:w="0" w:type="dxa"/>
              <w:left w:w="108" w:type="dxa"/>
              <w:bottom w:w="0" w:type="dxa"/>
              <w:right w:w="108" w:type="dxa"/>
            </w:tcMar>
          </w:tcPr>
          <w:p w14:paraId="2A77D3DA" w14:textId="77777777" w:rsidR="004D57AC" w:rsidRDefault="004D57AC">
            <w:pPr>
              <w:jc w:val="center"/>
            </w:pPr>
            <w:r>
              <w:rPr>
                <w:b/>
                <w:bCs/>
              </w:rPr>
              <w:t xml:space="preserve">TOÀ ÁN NHÂN DÂN </w:t>
            </w:r>
            <w:r>
              <w:rPr>
                <w:b/>
                <w:bCs/>
              </w:rPr>
              <w:br/>
              <w:t>TỐI CAO</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52072CA2" w14:textId="77777777" w:rsidR="004D57AC" w:rsidRDefault="004D57AC">
            <w:pPr>
              <w:jc w:val="center"/>
            </w:pPr>
            <w:r>
              <w:rPr>
                <w:b/>
                <w:bCs/>
              </w:rPr>
              <w:t>CỘNG HÒA XÃ HỘI CHỦ NGHĨA VIỆT NAM</w:t>
            </w:r>
            <w:r>
              <w:rPr>
                <w:b/>
                <w:bCs/>
              </w:rPr>
              <w:br/>
              <w:t xml:space="preserve">Độc lập - Tự do - Hạnh phúc </w:t>
            </w:r>
            <w:r>
              <w:rPr>
                <w:b/>
                <w:bCs/>
              </w:rPr>
              <w:br/>
              <w:t>---------------</w:t>
            </w:r>
          </w:p>
        </w:tc>
      </w:tr>
      <w:tr w:rsidR="00000000" w14:paraId="0D907BE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02E31412" w14:textId="77777777" w:rsidR="004D57AC" w:rsidRDefault="004D57AC">
            <w:bookmarkStart w:id="0" w:name="loai_1"/>
            <w:r>
              <w:t>Số: 301/TANDTC-PC</w:t>
            </w:r>
            <w:bookmarkEnd w:id="0"/>
            <w:r>
              <w:br/>
            </w:r>
            <w:bookmarkStart w:id="1" w:name="loai_1_name"/>
            <w:r>
              <w:rPr>
                <w:i/>
                <w:iCs/>
                <w:sz w:val="16"/>
              </w:rPr>
              <w:t>V/v áp dụng một số quy định có lợi cho người phạm tội của Bộ luật hình sự năm 2015</w:t>
            </w:r>
            <w:bookmarkEnd w:id="1"/>
          </w:p>
        </w:tc>
        <w:tc>
          <w:tcPr>
            <w:tcW w:w="5508" w:type="dxa"/>
            <w:tcBorders>
              <w:top w:val="nil"/>
              <w:left w:val="nil"/>
              <w:bottom w:val="nil"/>
              <w:right w:val="nil"/>
              <w:tl2br w:val="nil"/>
              <w:tr2bl w:val="nil"/>
            </w:tcBorders>
            <w:tcMar>
              <w:top w:w="0" w:type="dxa"/>
              <w:left w:w="108" w:type="dxa"/>
              <w:bottom w:w="0" w:type="dxa"/>
              <w:right w:w="108" w:type="dxa"/>
            </w:tcMar>
          </w:tcPr>
          <w:p w14:paraId="5C85A179" w14:textId="77777777" w:rsidR="004D57AC" w:rsidRDefault="004D57AC">
            <w:pPr>
              <w:jc w:val="right"/>
            </w:pPr>
            <w:r>
              <w:rPr>
                <w:i/>
                <w:iCs/>
              </w:rPr>
              <w:t>Hà Nội, ngày 07 tháng 10 năm 2016</w:t>
            </w:r>
          </w:p>
        </w:tc>
      </w:tr>
    </w:tbl>
    <w:p w14:paraId="7AECED7B" w14:textId="77777777" w:rsidR="004D57AC" w:rsidRDefault="004D57A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908"/>
        <w:gridCol w:w="6948"/>
      </w:tblGrid>
      <w:tr w:rsidR="00000000" w14:paraId="77AA8D91" w14:textId="77777777">
        <w:tc>
          <w:tcPr>
            <w:tcW w:w="1908" w:type="dxa"/>
            <w:tcBorders>
              <w:top w:val="nil"/>
              <w:left w:val="nil"/>
              <w:bottom w:val="nil"/>
              <w:right w:val="nil"/>
              <w:tl2br w:val="nil"/>
              <w:tr2bl w:val="nil"/>
            </w:tcBorders>
            <w:tcMar>
              <w:top w:w="0" w:type="dxa"/>
              <w:left w:w="108" w:type="dxa"/>
              <w:bottom w:w="0" w:type="dxa"/>
              <w:right w:w="108" w:type="dxa"/>
            </w:tcMar>
          </w:tcPr>
          <w:p w14:paraId="6E5F6EDB" w14:textId="77777777" w:rsidR="004D57AC" w:rsidRDefault="004D57AC">
            <w:pPr>
              <w:jc w:val="right"/>
            </w:pPr>
            <w:r>
              <w:rPr>
                <w:b/>
                <w:bCs/>
              </w:rPr>
              <w:t>Kính gửi:</w:t>
            </w:r>
          </w:p>
        </w:tc>
        <w:tc>
          <w:tcPr>
            <w:tcW w:w="6948" w:type="dxa"/>
            <w:tcBorders>
              <w:top w:val="nil"/>
              <w:left w:val="nil"/>
              <w:bottom w:val="nil"/>
              <w:right w:val="nil"/>
              <w:tl2br w:val="nil"/>
              <w:tr2bl w:val="nil"/>
            </w:tcBorders>
            <w:tcMar>
              <w:top w:w="0" w:type="dxa"/>
              <w:left w:w="108" w:type="dxa"/>
              <w:bottom w:w="0" w:type="dxa"/>
              <w:right w:w="108" w:type="dxa"/>
            </w:tcMar>
          </w:tcPr>
          <w:p w14:paraId="5E2CCC68" w14:textId="77777777" w:rsidR="004D57AC" w:rsidRDefault="004D57AC">
            <w:r>
              <w:t>- Các đồng chí Chánh án Toà án nhân dân và Toà án quân sự các cấp;</w:t>
            </w:r>
            <w:r>
              <w:br/>
              <w:t>- Thủ trưởng các đơn vị thuộc Tòa án nhân dân tối cao.</w:t>
            </w:r>
          </w:p>
        </w:tc>
      </w:tr>
    </w:tbl>
    <w:p w14:paraId="6505E112" w14:textId="77777777" w:rsidR="004D57AC" w:rsidRDefault="004D57AC">
      <w:pPr>
        <w:spacing w:after="120"/>
      </w:pPr>
      <w:r>
        <w:t> </w:t>
      </w:r>
    </w:p>
    <w:p w14:paraId="2D9850DF" w14:textId="77777777" w:rsidR="004D57AC" w:rsidRDefault="004D57AC">
      <w:pPr>
        <w:spacing w:after="120"/>
      </w:pPr>
      <w:r>
        <w:t>Thực hiện Nghị quyết số 144/2016/QH13 ngày 29-6-2016 của Quốc hội về việc lùi hiệu lực thi hành của Bộ luật hình sự năm 2015 và 03 đạo luật khác có liên quan (sau đây viết tắt là Nghị quyết số 144), ngày 13-9-2016, Tòa án nhân dân tối cao đã ban hành Công văn số 276/TANDTC-PC kèm theo Danh mục một số quy định có nội dung có lợi cho người phạm tội của Bộ luật hình sự năm 2015.</w:t>
      </w:r>
    </w:p>
    <w:p w14:paraId="476352FA" w14:textId="77777777" w:rsidR="004D57AC" w:rsidRDefault="004D57AC">
      <w:pPr>
        <w:spacing w:after="120"/>
      </w:pPr>
      <w:r>
        <w:t xml:space="preserve">Để việc áp dụng các nội dung có lợi cho người phạm tội bảo đảm đúng quy định tại </w:t>
      </w:r>
      <w:bookmarkStart w:id="2" w:name="dc_2"/>
      <w:r>
        <w:t>khoản 3 Điều 7 Bộ luật hình sự năm 2015</w:t>
      </w:r>
      <w:bookmarkEnd w:id="2"/>
      <w:r>
        <w:t>, Nghị quyết số 109/2015/QH13 ngày 27-11-2015 (sau đây viết tắt là Nghị quyết số 109), Nghị quyết số 144 của Quốc hội và hướng dẫn tại Nghị quyết số 01/2016/NQ-HĐTP ngày 30-6-2016 của Hội đồng Thẩm phán Tòa án nhân dân tối cao (sau đây viết tắt là Nghị quyết số 01), Tòa án nhân dân tối cao yêu cầu các đồng chí lưu ý một số nội dung sau đây:</w:t>
      </w:r>
    </w:p>
    <w:p w14:paraId="4873241A" w14:textId="77777777" w:rsidR="004D57AC" w:rsidRDefault="004D57AC">
      <w:pPr>
        <w:shd w:val="solid" w:color="FFFFFF" w:fill="auto"/>
        <w:spacing w:after="120"/>
      </w:pPr>
      <w:r>
        <w:rPr>
          <w:b/>
          <w:bCs/>
        </w:rPr>
        <w:t>1.</w:t>
      </w:r>
      <w:r>
        <w:t xml:space="preserve"> Theo quy định tại </w:t>
      </w:r>
      <w:bookmarkStart w:id="3" w:name="dc_3"/>
      <w:r>
        <w:rPr>
          <w:color w:val="000000"/>
        </w:rPr>
        <w:t>khoản 2 Điều 1 Nghị quyết số 109</w:t>
      </w:r>
      <w:bookmarkEnd w:id="3"/>
      <w:r>
        <w:rPr>
          <w:color w:val="000000"/>
        </w:rPr>
        <w:t xml:space="preserve"> thì có 06 trường hợp</w:t>
      </w:r>
      <w:hyperlink w:anchor="_ftn1" w:history="1">
        <w:r>
          <w:rPr>
            <w:color w:val="000000"/>
            <w:u w:val="single"/>
          </w:rPr>
          <w:t>[1]</w:t>
        </w:r>
      </w:hyperlink>
      <w:r>
        <w:rPr>
          <w:color w:val="000000"/>
        </w:rPr>
        <w:t xml:space="preserve"> được áp dụng quy định có lợi cho người phạm tội kể từ ngày 09-12-2015 (ngày </w:t>
      </w:r>
      <w:r>
        <w:rPr>
          <w:color w:val="000000"/>
          <w:lang w:val="vi-VN"/>
        </w:rPr>
        <w:t xml:space="preserve">Bộ luật hình sự </w:t>
      </w:r>
      <w:r>
        <w:rPr>
          <w:color w:val="000000"/>
          <w:shd w:val="solid" w:color="FFFFFF" w:fill="auto"/>
          <w:lang w:val="vi-VN"/>
        </w:rPr>
        <w:t>năm 2015</w:t>
      </w:r>
      <w:r>
        <w:rPr>
          <w:color w:val="000000"/>
          <w:lang w:val="vi-VN"/>
        </w:rPr>
        <w:t xml:space="preserve"> được công bố</w:t>
      </w:r>
      <w:r>
        <w:rPr>
          <w:color w:val="000000"/>
        </w:rPr>
        <w:t>)</w:t>
      </w:r>
      <w:r>
        <w:t>.</w:t>
      </w:r>
    </w:p>
    <w:p w14:paraId="043CC6C6" w14:textId="77777777" w:rsidR="004D57AC" w:rsidRDefault="004D57AC">
      <w:pPr>
        <w:shd w:val="solid" w:color="FFFFFF" w:fill="auto"/>
        <w:spacing w:after="120"/>
      </w:pPr>
      <w:r>
        <w:rPr>
          <w:b/>
          <w:bCs/>
        </w:rPr>
        <w:t>2.</w:t>
      </w:r>
      <w:r>
        <w:t xml:space="preserve"> Ngày 30-6-2016, Hội đồng Thẩm phán Tòa án nhân dân tối cao ban hành Nghị quyết số 01 hướng dẫn bổ sung thêm 02 trường hợp áp dụng quy định có lợi cho người phạm tội kể từ ngày 09-12-2015, đó là: (1) Người thực hiện hành vi mà theo quy định của Bộ luật hình sự năm 1999 là tội phạm nhưng theo quy định của Bộ luật hình sự năm 2015 thì hành vi đó chưa cấu thành tội phạm do có bổ sung, thay đổi các yếu tố định tội và cấu thành tội phạm đó (nhưng không thuộc trường hợp quy định tại </w:t>
      </w:r>
      <w:bookmarkStart w:id="4" w:name="dc_4"/>
      <w:r>
        <w:t>điểm e khoản 1 Điều 1 Nghị quy</w:t>
      </w:r>
      <w:r>
        <w:t>ết số 109</w:t>
      </w:r>
      <w:bookmarkEnd w:id="4"/>
      <w:r>
        <w:t xml:space="preserve">); và (2) Người thực hiện hành vi chuẩn bị phạm tội trừ các tội quy định tại </w:t>
      </w:r>
      <w:bookmarkStart w:id="5" w:name="dc_5"/>
      <w:r>
        <w:t>khoản 2 Điều 14 Bộ luật hình sự năm 2015</w:t>
      </w:r>
      <w:bookmarkEnd w:id="5"/>
      <w:r>
        <w:t>.</w:t>
      </w:r>
    </w:p>
    <w:p w14:paraId="2AA25ECA" w14:textId="77777777" w:rsidR="004D57AC" w:rsidRDefault="004D57AC">
      <w:pPr>
        <w:shd w:val="solid" w:color="FFFFFF" w:fill="auto"/>
        <w:spacing w:after="120"/>
      </w:pPr>
      <w:r>
        <w:rPr>
          <w:b/>
          <w:bCs/>
        </w:rPr>
        <w:t>3.</w:t>
      </w:r>
      <w:r>
        <w:t xml:space="preserve"> Tại </w:t>
      </w:r>
      <w:bookmarkStart w:id="6" w:name="dc_22"/>
      <w:r>
        <w:t>điểm a khoản 4 Điều 1 Nghị quyết số 144</w:t>
      </w:r>
      <w:bookmarkEnd w:id="6"/>
      <w:r>
        <w:t xml:space="preserve"> quy định:</w:t>
      </w:r>
    </w:p>
    <w:p w14:paraId="321B4273" w14:textId="77777777" w:rsidR="004D57AC" w:rsidRDefault="004D57AC">
      <w:pPr>
        <w:shd w:val="solid" w:color="FFFFFF" w:fill="auto"/>
        <w:spacing w:after="120"/>
      </w:pPr>
      <w:r>
        <w:rPr>
          <w:i/>
          <w:iCs/>
        </w:rPr>
        <w:t>“4. Kể từ ngày 01 tháng 07 năm 2016:</w:t>
      </w:r>
    </w:p>
    <w:p w14:paraId="5AD1122A" w14:textId="77777777" w:rsidR="004D57AC" w:rsidRDefault="004D57AC">
      <w:pPr>
        <w:shd w:val="solid" w:color="FFFFFF" w:fill="auto"/>
        <w:spacing w:after="120"/>
      </w:pPr>
      <w:r>
        <w:rPr>
          <w:i/>
          <w:iCs/>
        </w:rPr>
        <w:t xml:space="preserve">a) Thực hiện các quy định có lợi cho người phạm tội tại </w:t>
      </w:r>
      <w:bookmarkStart w:id="7" w:name="dc_18"/>
      <w:r>
        <w:rPr>
          <w:i/>
          <w:iCs/>
        </w:rPr>
        <w:t>khoản 3 Điều 7 Bộ luật hình sự số 100/2015/QH13</w:t>
      </w:r>
      <w:bookmarkEnd w:id="7"/>
      <w:r>
        <w:rPr>
          <w:i/>
          <w:iCs/>
        </w:rPr>
        <w:t xml:space="preserve"> và </w:t>
      </w:r>
      <w:bookmarkStart w:id="8" w:name="dc_1"/>
      <w:r>
        <w:rPr>
          <w:i/>
          <w:iCs/>
        </w:rPr>
        <w:t>điểm b khoản 1 Điều 1 Nghị quyết số 109/2015/QH13</w:t>
      </w:r>
      <w:bookmarkEnd w:id="8"/>
      <w:r>
        <w:rPr>
          <w:i/>
          <w:iCs/>
        </w:rPr>
        <w:t xml:space="preserve"> về việc thi hành Bộ luật hình sự; tiếp tục áp dụng </w:t>
      </w:r>
      <w:bookmarkStart w:id="9" w:name="dc_17"/>
      <w:r>
        <w:rPr>
          <w:i/>
          <w:iCs/>
        </w:rPr>
        <w:t>khoản 2 Điều 1</w:t>
      </w:r>
      <w:bookmarkEnd w:id="9"/>
      <w:r>
        <w:rPr>
          <w:i/>
          <w:iCs/>
        </w:rPr>
        <w:t xml:space="preserve"> và các quy định khác có lợi cho người phạm tội tại Nghị quyết số 109/2015/QH13”.</w:t>
      </w:r>
    </w:p>
    <w:p w14:paraId="21B2ADAD" w14:textId="77777777" w:rsidR="004D57AC" w:rsidRDefault="004D57AC">
      <w:pPr>
        <w:shd w:val="solid" w:color="FFFFFF" w:fill="auto"/>
        <w:spacing w:after="120"/>
      </w:pPr>
      <w:r>
        <w:t xml:space="preserve">Như vậy, theo các quy định và hướng dẫn nêu trên thì </w:t>
      </w:r>
      <w:r>
        <w:rPr>
          <w:b/>
          <w:bCs/>
          <w:i/>
          <w:iCs/>
        </w:rPr>
        <w:t>chỉ có</w:t>
      </w:r>
      <w:r>
        <w:t xml:space="preserve"> </w:t>
      </w:r>
      <w:r>
        <w:rPr>
          <w:b/>
          <w:bCs/>
          <w:i/>
          <w:iCs/>
        </w:rPr>
        <w:t>08 trường hợp được áp dụng các quy định có lợi cho người phạm tội kể từ ngày 09-12-2015</w:t>
      </w:r>
      <w:r>
        <w:t xml:space="preserve">; các quy định khác có lợi cho người phạm tội theo </w:t>
      </w:r>
      <w:bookmarkStart w:id="10" w:name="dc_6"/>
      <w:r>
        <w:t>khoản 3 Điều 7 Bộ luật hình sự năm 2015</w:t>
      </w:r>
      <w:bookmarkEnd w:id="10"/>
      <w:r>
        <w:t xml:space="preserve">, </w:t>
      </w:r>
      <w:bookmarkStart w:id="11" w:name="dc_7"/>
      <w:r>
        <w:t>điểm b khoản 1 Điều 1 Nghị quyết số 109/2015/QH13</w:t>
      </w:r>
      <w:bookmarkEnd w:id="11"/>
      <w:r>
        <w:t xml:space="preserve"> và được thống kê tại Danh mục kèm theo Công văn số 276/TANDTC-PC ngày 13-9-2016 của Tòa án nhân dân tối cao áp dụng kể từ ngày 01-7-2016. Tuy nhiên, cần lưu ý việc </w:t>
      </w:r>
      <w:r>
        <w:lastRenderedPageBreak/>
        <w:t>áp dụng đối với từng trường hợp cụ thể phải bảo đảm quy định mới của Bộ luật hình sự năm 2015 là có lợi cho ngườ</w:t>
      </w:r>
      <w:r>
        <w:t>i phạm tội.</w:t>
      </w:r>
    </w:p>
    <w:p w14:paraId="5EBD8636" w14:textId="77777777" w:rsidR="004D57AC" w:rsidRDefault="004D57AC">
      <w:pPr>
        <w:spacing w:after="280" w:afterAutospacing="1"/>
      </w:pPr>
      <w:r>
        <w:rPr>
          <w:b/>
          <w:bCs/>
        </w:rPr>
        <w:t>4.</w:t>
      </w:r>
      <w:r>
        <w:t xml:space="preserve"> Đối với </w:t>
      </w:r>
      <w:r>
        <w:rPr>
          <w:color w:val="000000"/>
          <w:lang w:val="vi-VN"/>
        </w:rPr>
        <w:t xml:space="preserve">hành vi hoạt động phỉ quy định tại </w:t>
      </w:r>
      <w:bookmarkStart w:id="12" w:name="dc_8"/>
      <w:r>
        <w:rPr>
          <w:color w:val="000000"/>
          <w:lang w:val="vi-VN"/>
        </w:rPr>
        <w:t>Điều 83</w:t>
      </w:r>
      <w:bookmarkEnd w:id="12"/>
      <w:r>
        <w:rPr>
          <w:color w:val="000000"/>
          <w:lang w:val="vi-VN"/>
        </w:rPr>
        <w:t xml:space="preserve">, hành vi đăng ký kết hôn trái pháp luật quy định tại </w:t>
      </w:r>
      <w:bookmarkStart w:id="13" w:name="dc_9"/>
      <w:r>
        <w:rPr>
          <w:color w:val="000000"/>
          <w:lang w:val="vi-VN"/>
        </w:rPr>
        <w:t>Điều 149</w:t>
      </w:r>
      <w:bookmarkEnd w:id="13"/>
      <w:r>
        <w:rPr>
          <w:color w:val="000000"/>
          <w:lang w:val="vi-VN"/>
        </w:rPr>
        <w:t xml:space="preserve">, </w:t>
      </w:r>
      <w:r>
        <w:rPr>
          <w:color w:val="000000"/>
        </w:rPr>
        <w:t xml:space="preserve">hành vi kinh doanh trái phép quy định tại </w:t>
      </w:r>
      <w:bookmarkStart w:id="14" w:name="dc_10"/>
      <w:r>
        <w:rPr>
          <w:color w:val="000000"/>
        </w:rPr>
        <w:t>Điều 159</w:t>
      </w:r>
      <w:bookmarkEnd w:id="14"/>
      <w:r>
        <w:rPr>
          <w:color w:val="000000"/>
        </w:rPr>
        <w:t xml:space="preserve">, </w:t>
      </w:r>
      <w:r>
        <w:rPr>
          <w:color w:val="000000"/>
          <w:lang w:val="vi-VN"/>
        </w:rPr>
        <w:t xml:space="preserve">hành vi cố ý làm trái quy định của Nhà nước về quản lý kinh tế gây hậu quả nghiêm trọng quy định tại </w:t>
      </w:r>
      <w:bookmarkStart w:id="15" w:name="dc_11"/>
      <w:r>
        <w:rPr>
          <w:color w:val="000000"/>
          <w:lang w:val="vi-VN"/>
        </w:rPr>
        <w:t>Điều 165 của Bộ luật hình sự năm 1999</w:t>
      </w:r>
      <w:bookmarkEnd w:id="15"/>
      <w:r>
        <w:rPr>
          <w:color w:val="000000"/>
        </w:rPr>
        <w:t xml:space="preserve">, theo quy định tại </w:t>
      </w:r>
      <w:bookmarkStart w:id="16" w:name="dc_12"/>
      <w:r>
        <w:rPr>
          <w:color w:val="000000"/>
        </w:rPr>
        <w:t>điểm e khoản 1 Điều 1 Nghị quyết số 109</w:t>
      </w:r>
      <w:bookmarkEnd w:id="16"/>
      <w:r>
        <w:rPr>
          <w:color w:val="000000"/>
        </w:rPr>
        <w:t xml:space="preserve"> thì nếu các hành vi này </w:t>
      </w:r>
      <w:r>
        <w:rPr>
          <w:color w:val="000000"/>
          <w:lang w:val="vi-VN"/>
        </w:rPr>
        <w:t>xảy ra trước 0 giờ 00 ngày 01</w:t>
      </w:r>
      <w:r>
        <w:rPr>
          <w:color w:val="000000"/>
        </w:rPr>
        <w:t>-</w:t>
      </w:r>
      <w:r>
        <w:rPr>
          <w:color w:val="000000"/>
          <w:lang w:val="vi-VN"/>
        </w:rPr>
        <w:t>7</w:t>
      </w:r>
      <w:r>
        <w:rPr>
          <w:color w:val="000000"/>
        </w:rPr>
        <w:t>-</w:t>
      </w:r>
      <w:r>
        <w:rPr>
          <w:color w:val="000000"/>
          <w:lang w:val="vi-VN"/>
        </w:rPr>
        <w:t xml:space="preserve">2016 mà sau thời điểm đó vụ án đang trong quá trình điều tra, truy tố, xét xử thì tiếp tục </w:t>
      </w:r>
      <w:r>
        <w:rPr>
          <w:color w:val="000000"/>
          <w:lang w:val="vi-VN"/>
        </w:rPr>
        <w:t>áp dụng quy định của Bộ luật hình sự năm 1999 để xử lý</w:t>
      </w:r>
      <w:r>
        <w:rPr>
          <w:color w:val="000000"/>
        </w:rPr>
        <w:t xml:space="preserve">; </w:t>
      </w:r>
      <w:r>
        <w:rPr>
          <w:color w:val="000000"/>
          <w:lang w:val="vi-VN"/>
        </w:rPr>
        <w:t>nếu sau thời điểm 0 giờ 00 ngày 01</w:t>
      </w:r>
      <w:r>
        <w:rPr>
          <w:color w:val="000000"/>
        </w:rPr>
        <w:t>-</w:t>
      </w:r>
      <w:r>
        <w:rPr>
          <w:color w:val="000000"/>
          <w:lang w:val="vi-VN"/>
        </w:rPr>
        <w:t>7</w:t>
      </w:r>
      <w:r>
        <w:rPr>
          <w:color w:val="000000"/>
        </w:rPr>
        <w:t>-</w:t>
      </w:r>
      <w:r>
        <w:rPr>
          <w:color w:val="000000"/>
          <w:lang w:val="vi-VN"/>
        </w:rPr>
        <w:t xml:space="preserve">2016 </w:t>
      </w:r>
      <w:r>
        <w:rPr>
          <w:color w:val="000000"/>
        </w:rPr>
        <w:t xml:space="preserve">(thời điểm Bộ luật hình sự năm 2015 có hiệu lực thi hành) </w:t>
      </w:r>
      <w:r>
        <w:rPr>
          <w:color w:val="000000"/>
          <w:lang w:val="vi-VN"/>
        </w:rPr>
        <w:t xml:space="preserve">mới bị phát hiện thì không khởi tố, điều tra, truy tố, xét xử về tội hoạt động phỉ quy định tại </w:t>
      </w:r>
      <w:bookmarkStart w:id="17" w:name="dc_13"/>
      <w:r>
        <w:rPr>
          <w:color w:val="000000"/>
          <w:lang w:val="vi-VN"/>
        </w:rPr>
        <w:t>Điều 83</w:t>
      </w:r>
      <w:bookmarkEnd w:id="17"/>
      <w:r>
        <w:rPr>
          <w:color w:val="000000"/>
          <w:lang w:val="vi-VN"/>
        </w:rPr>
        <w:t xml:space="preserve">, tội đăng ký kết hôn trái pháp luật quy định tại </w:t>
      </w:r>
      <w:bookmarkStart w:id="18" w:name="dc_14"/>
      <w:r>
        <w:rPr>
          <w:color w:val="000000"/>
          <w:lang w:val="vi-VN"/>
        </w:rPr>
        <w:t>Điều 149</w:t>
      </w:r>
      <w:bookmarkEnd w:id="18"/>
      <w:r>
        <w:rPr>
          <w:color w:val="000000"/>
          <w:lang w:val="vi-VN"/>
        </w:rPr>
        <w:t xml:space="preserve">, </w:t>
      </w:r>
      <w:r>
        <w:rPr>
          <w:color w:val="000000"/>
        </w:rPr>
        <w:t xml:space="preserve">tội kinh doanh trái phép quy định tại </w:t>
      </w:r>
      <w:bookmarkStart w:id="19" w:name="dc_15"/>
      <w:r>
        <w:rPr>
          <w:color w:val="000000"/>
        </w:rPr>
        <w:t>Điều 159</w:t>
      </w:r>
      <w:bookmarkEnd w:id="19"/>
      <w:r>
        <w:rPr>
          <w:color w:val="000000"/>
        </w:rPr>
        <w:t xml:space="preserve">, </w:t>
      </w:r>
      <w:r>
        <w:rPr>
          <w:color w:val="000000"/>
          <w:lang w:val="vi-VN"/>
        </w:rPr>
        <w:t xml:space="preserve">tội cố ý làm trái quy định của Nhà nước về quản lý kinh tế gây hậu quả nghiêm trọng quy định tại </w:t>
      </w:r>
      <w:bookmarkStart w:id="20" w:name="dc_16"/>
      <w:r>
        <w:rPr>
          <w:color w:val="000000"/>
          <w:lang w:val="vi-VN"/>
        </w:rPr>
        <w:t>Điều 165 của Bộ luật hình sự năm 1999</w:t>
      </w:r>
      <w:bookmarkEnd w:id="20"/>
      <w:r>
        <w:rPr>
          <w:color w:val="000000"/>
          <w:lang w:val="vi-VN"/>
        </w:rPr>
        <w:t xml:space="preserve"> mà áp dụng</w:t>
      </w:r>
      <w:r>
        <w:rPr>
          <w:color w:val="000000"/>
          <w:lang w:val="vi-VN"/>
        </w:rPr>
        <w:t xml:space="preserve"> quy định của Bộ luật hình sự </w:t>
      </w:r>
      <w:r>
        <w:rPr>
          <w:color w:val="000000"/>
          <w:shd w:val="solid" w:color="FFFFFF" w:fill="auto"/>
        </w:rPr>
        <w:t xml:space="preserve">năm 2015 </w:t>
      </w:r>
      <w:r>
        <w:rPr>
          <w:color w:val="000000"/>
          <w:lang w:val="vi-VN"/>
        </w:rPr>
        <w:t>để khởi tố, điều tra, truy tố, xét xử theo tội danh tương ứng</w:t>
      </w:r>
      <w:r>
        <w:rPr>
          <w:color w:val="000000"/>
        </w:rPr>
        <w:t xml:space="preserve">. Tuy nhiên, tại </w:t>
      </w:r>
      <w:bookmarkStart w:id="21" w:name="dc_19"/>
      <w:r>
        <w:rPr>
          <w:color w:val="000000"/>
        </w:rPr>
        <w:t>điểm c khoản 4 Điều 1 Nghị quyết số 144</w:t>
      </w:r>
      <w:bookmarkEnd w:id="21"/>
      <w:r>
        <w:rPr>
          <w:color w:val="000000"/>
        </w:rPr>
        <w:t xml:space="preserve"> </w:t>
      </w:r>
      <w:r>
        <w:t xml:space="preserve">quy định: </w:t>
      </w:r>
      <w:r>
        <w:rPr>
          <w:i/>
          <w:iCs/>
        </w:rPr>
        <w:t>“Các quy định khác tại Nghị quyết số 109/2015/QH13 về việc thi hành Bộ luật hình sự... có ghi thời điểm “ngày 01 tháng 7 năm 2016” được lùi đến thời điểm “ngày Luật sửa đổi, bổ sung một số điều của Bộ luật hình sự số 100/2015/QH13 có hiệu lực thi hành””.</w:t>
      </w:r>
      <w:r>
        <w:rPr>
          <w:color w:val="000000"/>
        </w:rPr>
        <w:t xml:space="preserve"> </w:t>
      </w:r>
      <w:r>
        <w:t xml:space="preserve">Do đó, đối với các </w:t>
      </w:r>
      <w:r>
        <w:rPr>
          <w:color w:val="000000"/>
          <w:lang w:val="vi-VN"/>
        </w:rPr>
        <w:t xml:space="preserve">hành vi hoạt động phỉ, đăng ký kết hôn trái pháp luật, </w:t>
      </w:r>
      <w:r>
        <w:rPr>
          <w:color w:val="000000"/>
        </w:rPr>
        <w:t xml:space="preserve">kinh doanh trái </w:t>
      </w:r>
      <w:r>
        <w:rPr>
          <w:color w:val="000000"/>
        </w:rPr>
        <w:t xml:space="preserve">phép, </w:t>
      </w:r>
      <w:r>
        <w:rPr>
          <w:color w:val="000000"/>
          <w:lang w:val="vi-VN"/>
        </w:rPr>
        <w:t xml:space="preserve">cố ý làm trái quy định của Nhà nước về quản lý kinh tế gây hậu quả nghiêm trọng </w:t>
      </w:r>
      <w:r>
        <w:rPr>
          <w:color w:val="000000"/>
        </w:rPr>
        <w:t xml:space="preserve">thì tiếp tục áp dụng quy định của Bộ </w:t>
      </w:r>
      <w:r>
        <w:rPr>
          <w:color w:val="000000"/>
          <w:lang w:val="vi-VN"/>
        </w:rPr>
        <w:t xml:space="preserve">luật hình sự năm 1999 </w:t>
      </w:r>
      <w:r>
        <w:rPr>
          <w:color w:val="000000"/>
        </w:rPr>
        <w:t xml:space="preserve">để xử lý cho đến </w:t>
      </w:r>
      <w:r>
        <w:t>ngày Luật sửa đổi, bổ sung một số điều của Bộ luật hình sự năm 2015 có hiệu lực thi hành</w:t>
      </w:r>
      <w:r>
        <w:rPr>
          <w:color w:val="000000"/>
        </w:rPr>
        <w:t>.</w:t>
      </w:r>
    </w:p>
    <w:p w14:paraId="27D2A095" w14:textId="77777777" w:rsidR="004D57AC" w:rsidRDefault="004D57AC">
      <w:pPr>
        <w:spacing w:after="120"/>
      </w:pPr>
      <w:r>
        <w:t>Trong quá trình thực hiện nếu có vướng mắc đề nghị các đồng chí báo cáo về Toà án nhân dân tối cao (thông qua Vụ Pháp chế và Quản lý khoa học) để kịp thời hướng dẫn bổ sung./.</w:t>
      </w:r>
    </w:p>
    <w:p w14:paraId="56673B3C" w14:textId="77777777" w:rsidR="004D57AC" w:rsidRDefault="004D57A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81"/>
      </w:tblGrid>
      <w:tr w:rsidR="00000000" w14:paraId="3CF76BEB" w14:textId="77777777">
        <w:tc>
          <w:tcPr>
            <w:tcW w:w="4738" w:type="dxa"/>
            <w:tcBorders>
              <w:top w:val="nil"/>
              <w:left w:val="nil"/>
              <w:bottom w:val="nil"/>
              <w:right w:val="nil"/>
              <w:tl2br w:val="nil"/>
              <w:tr2bl w:val="nil"/>
            </w:tcBorders>
            <w:tcMar>
              <w:top w:w="0" w:type="dxa"/>
              <w:left w:w="108" w:type="dxa"/>
              <w:bottom w:w="0" w:type="dxa"/>
              <w:right w:w="108" w:type="dxa"/>
            </w:tcMar>
          </w:tcPr>
          <w:p w14:paraId="51585519" w14:textId="77777777" w:rsidR="004D57AC" w:rsidRDefault="004D57AC">
            <w:pPr>
              <w:spacing w:after="120"/>
            </w:pPr>
            <w:r>
              <w:rPr>
                <w:sz w:val="16"/>
              </w:rPr>
              <w:t> </w:t>
            </w:r>
          </w:p>
          <w:p w14:paraId="44C573ED" w14:textId="77777777" w:rsidR="004D57AC" w:rsidRDefault="004D57AC">
            <w:r>
              <w:rPr>
                <w:b/>
                <w:bCs/>
                <w:i/>
                <w:iCs/>
              </w:rPr>
              <w:t>Nơi nhận:</w:t>
            </w:r>
            <w:r>
              <w:rPr>
                <w:b/>
                <w:bCs/>
                <w:i/>
                <w:iCs/>
              </w:rPr>
              <w:br/>
            </w:r>
            <w:r>
              <w:rPr>
                <w:sz w:val="16"/>
              </w:rPr>
              <w:t>- Như kính gửi (để thực hiện);</w:t>
            </w:r>
            <w:r>
              <w:rPr>
                <w:sz w:val="16"/>
              </w:rPr>
              <w:br/>
              <w:t>- Đ/c Chánh án TANDTC (để báo cáo);</w:t>
            </w:r>
            <w:r>
              <w:rPr>
                <w:sz w:val="16"/>
              </w:rPr>
              <w:br/>
              <w:t>- Các đ/c PCA TANDTC (để phối hợp chỉ đạo);</w:t>
            </w:r>
            <w:r>
              <w:rPr>
                <w:sz w:val="16"/>
              </w:rPr>
              <w:br/>
              <w:t>- Các Thẩm phán TANDTC (để biết);</w:t>
            </w:r>
            <w:r>
              <w:rPr>
                <w:sz w:val="16"/>
              </w:rPr>
              <w:br/>
              <w:t>- Lưu: VT (VP; Vụ PC&amp;QLKH).</w:t>
            </w:r>
          </w:p>
        </w:tc>
        <w:tc>
          <w:tcPr>
            <w:tcW w:w="4739" w:type="dxa"/>
            <w:tcBorders>
              <w:top w:val="nil"/>
              <w:left w:val="nil"/>
              <w:bottom w:val="nil"/>
              <w:right w:val="nil"/>
              <w:tl2br w:val="nil"/>
              <w:tr2bl w:val="nil"/>
            </w:tcBorders>
            <w:tcMar>
              <w:top w:w="0" w:type="dxa"/>
              <w:left w:w="108" w:type="dxa"/>
              <w:bottom w:w="0" w:type="dxa"/>
              <w:right w:w="108" w:type="dxa"/>
            </w:tcMar>
          </w:tcPr>
          <w:p w14:paraId="65FD2EC0" w14:textId="77777777" w:rsidR="004D57AC" w:rsidRDefault="004D57AC">
            <w:pPr>
              <w:jc w:val="center"/>
            </w:pPr>
            <w:r>
              <w:rPr>
                <w:b/>
                <w:bCs/>
              </w:rPr>
              <w:t>KT. CHÁNH ÁN</w:t>
            </w:r>
            <w:r>
              <w:rPr>
                <w:b/>
                <w:bCs/>
                <w:lang w:val="vi-VN"/>
              </w:rPr>
              <w:br/>
            </w:r>
            <w:r>
              <w:rPr>
                <w:b/>
                <w:bCs/>
              </w:rPr>
              <w:t>PHÓ CHÁNH ÁN</w:t>
            </w:r>
            <w:r>
              <w:rPr>
                <w:b/>
                <w:bCs/>
              </w:rPr>
              <w:br/>
            </w:r>
            <w:r>
              <w:rPr>
                <w:b/>
                <w:bCs/>
              </w:rPr>
              <w:br/>
            </w:r>
            <w:r>
              <w:rPr>
                <w:b/>
                <w:bCs/>
              </w:rPr>
              <w:br/>
            </w:r>
            <w:r>
              <w:rPr>
                <w:b/>
                <w:bCs/>
              </w:rPr>
              <w:br/>
            </w:r>
            <w:r>
              <w:rPr>
                <w:b/>
                <w:bCs/>
              </w:rPr>
              <w:br/>
              <w:t>Nguyễn Sơn</w:t>
            </w:r>
          </w:p>
        </w:tc>
      </w:tr>
    </w:tbl>
    <w:p w14:paraId="7AF3ECFC" w14:textId="77777777" w:rsidR="004D57AC" w:rsidRDefault="004D57AC">
      <w:pPr>
        <w:spacing w:after="280" w:afterAutospacing="1"/>
      </w:pPr>
      <w:r>
        <w:rPr>
          <w:b/>
          <w:bCs/>
        </w:rPr>
        <w:t> </w:t>
      </w:r>
    </w:p>
    <w:p w14:paraId="7AD77ED9" w14:textId="77777777" w:rsidR="004D57AC" w:rsidRDefault="004D57AC">
      <w:pPr>
        <w:spacing w:after="280" w:afterAutospacing="1"/>
      </w:pPr>
    </w:p>
    <w:p w14:paraId="382A3C0D" w14:textId="77777777" w:rsidR="004D57AC" w:rsidRDefault="004D57AC">
      <w:r>
        <w:pict w14:anchorId="5F90B271">
          <v:rect id="_x0000_i1025" style="width:142.55pt;height:.75pt" o:hrpct="330" o:hrstd="t" o:hr="t" fillcolor="gray" stroked="f"/>
        </w:pict>
      </w:r>
    </w:p>
    <w:p w14:paraId="474E83E2" w14:textId="77777777" w:rsidR="004D57AC" w:rsidRDefault="004D57AC">
      <w:pPr>
        <w:spacing w:after="120"/>
      </w:pPr>
      <w:hyperlink w:anchor="_ftnref1" w:history="1">
        <w:r>
          <w:rPr>
            <w:color w:val="0000FF"/>
            <w:u w:val="single"/>
          </w:rPr>
          <w:t>[1]</w:t>
        </w:r>
      </w:hyperlink>
      <w:r>
        <w:t xml:space="preserve"> “</w:t>
      </w:r>
      <w:r>
        <w:rPr>
          <w:color w:val="000000"/>
        </w:rPr>
        <w:t xml:space="preserve">1. </w:t>
      </w:r>
      <w:bookmarkStart w:id="22" w:name="dieu_2"/>
      <w:r>
        <w:rPr>
          <w:color w:val="000000"/>
          <w:shd w:val="solid" w:color="FFFFFF" w:fill="auto"/>
        </w:rPr>
        <w:t>Kể từ ngày Bộ luật hình sự năm 2015 được công bố:</w:t>
      </w:r>
      <w:bookmarkEnd w:id="22"/>
    </w:p>
    <w:p w14:paraId="2A2641AE" w14:textId="77777777" w:rsidR="004D57AC" w:rsidRDefault="004D57AC">
      <w:pPr>
        <w:spacing w:after="120"/>
      </w:pPr>
      <w:r>
        <w:rPr>
          <w:color w:val="000000"/>
          <w:lang w:val="vi-VN"/>
        </w:rPr>
        <w:t xml:space="preserve">a) Không áp dụng hình phạt tử hình khi xét xử người phạm tội mà Bộ luật hình sự </w:t>
      </w:r>
      <w:r>
        <w:rPr>
          <w:color w:val="000000"/>
          <w:shd w:val="solid" w:color="FFFFFF" w:fill="auto"/>
        </w:rPr>
        <w:t xml:space="preserve">năm 2015 </w:t>
      </w:r>
      <w:r>
        <w:rPr>
          <w:color w:val="000000"/>
          <w:lang w:val="vi-VN"/>
        </w:rPr>
        <w:t>đã bỏ hình phạt tử hình, đối với người đủ 75 tuổi trở lên khi phạm tội hoặc khi xét xử;</w:t>
      </w:r>
    </w:p>
    <w:p w14:paraId="18B27C1E" w14:textId="77777777" w:rsidR="004D57AC" w:rsidRDefault="004D57AC">
      <w:pPr>
        <w:shd w:val="solid" w:color="FFFFFF" w:fill="auto"/>
        <w:spacing w:after="120"/>
      </w:pPr>
      <w:r>
        <w:rPr>
          <w:color w:val="000000"/>
          <w:lang w:val="vi-VN"/>
        </w:rPr>
        <w:t>b) Hình phạt tử hình đã tuyên đối với người được nêu tại điểm a khoản này nhưng chưa thi hành án, thì không thi hành và Chánh án Tòa án nhân dân tối cao chuyển hình phạt tử hình thành hình phạt tù chung thân;</w:t>
      </w:r>
    </w:p>
    <w:p w14:paraId="12503E74" w14:textId="77777777" w:rsidR="004D57AC" w:rsidRDefault="004D57AC">
      <w:pPr>
        <w:shd w:val="solid" w:color="FFFFFF" w:fill="auto"/>
        <w:spacing w:after="120"/>
      </w:pPr>
      <w:r>
        <w:rPr>
          <w:color w:val="000000"/>
          <w:lang w:val="vi-VN"/>
        </w:rPr>
        <w:lastRenderedPageBreak/>
        <w:t>c) Đối với người đã bị kết án tử hình nhưng chưa thi hành án mà có đủ các điều kiện quy định tại</w:t>
      </w:r>
      <w:r>
        <w:rPr>
          <w:lang w:val="vi-VN"/>
        </w:rPr>
        <w:t xml:space="preserve"> </w:t>
      </w:r>
      <w:bookmarkStart w:id="23" w:name="dc_20"/>
      <w:r>
        <w:rPr>
          <w:color w:val="000000"/>
          <w:lang w:val="vi-VN"/>
        </w:rPr>
        <w:t>điểm c khoản 3 Điều 40 của Bộ luật hình sự năm 2015</w:t>
      </w:r>
      <w:bookmarkEnd w:id="23"/>
      <w:r>
        <w:rPr>
          <w:color w:val="000000"/>
          <w:lang w:val="vi-VN"/>
        </w:rPr>
        <w:t>, thì không thi hành và Chánh án Tòa án nhân dân tối cao chuyển hình phạt tử hình thành hình phạt tù chung thân;</w:t>
      </w:r>
    </w:p>
    <w:p w14:paraId="2B789A6B" w14:textId="77777777" w:rsidR="004D57AC" w:rsidRPr="004D57AC" w:rsidRDefault="004D57AC">
      <w:pPr>
        <w:spacing w:after="120"/>
        <w:rPr>
          <w:lang w:val="vi-VN"/>
        </w:rPr>
      </w:pPr>
      <w:r>
        <w:rPr>
          <w:color w:val="000000"/>
          <w:lang w:val="vi-VN"/>
        </w:rPr>
        <w:t>d) Không xử lý về hình sự đối với người thực hiện hành vi mà Bộ luật hình sự năm 1999 quy định là tội phạm nhưng Bộ luật hình sự</w:t>
      </w:r>
      <w:r>
        <w:rPr>
          <w:color w:val="000000"/>
          <w:shd w:val="solid" w:color="FFFFFF" w:fill="auto"/>
          <w:lang w:val="vi-VN"/>
        </w:rPr>
        <w:t xml:space="preserve"> năm 2015</w:t>
      </w:r>
      <w:r>
        <w:rPr>
          <w:color w:val="000000"/>
          <w:lang w:val="vi-VN"/>
        </w:rPr>
        <w:t xml:space="preserve"> không quy định là tội phạm, bao gồm: tảo hôn; </w:t>
      </w:r>
      <w:r>
        <w:rPr>
          <w:color w:val="000000"/>
          <w:lang w:val="af-ZA"/>
        </w:rPr>
        <w:t>báo cáo sai trong quản lý kinh tế</w:t>
      </w:r>
      <w:r>
        <w:rPr>
          <w:color w:val="000000"/>
          <w:lang w:val="vi-VN"/>
        </w:rPr>
        <w:t>; vi phạm quy định về cấp văn bằng bảo hộ quyền sở hữu công nghiệp; s</w:t>
      </w:r>
      <w:r>
        <w:rPr>
          <w:color w:val="000000"/>
          <w:lang w:val="af-ZA"/>
        </w:rPr>
        <w:t>ử dụng trái phép quỹ dự trữ bổ sung vốn điều lệ của tổ chức tín dụng</w:t>
      </w:r>
      <w:r>
        <w:rPr>
          <w:color w:val="000000"/>
          <w:lang w:val="vi-VN"/>
        </w:rPr>
        <w:t>; k</w:t>
      </w:r>
      <w:r>
        <w:rPr>
          <w:color w:val="000000"/>
          <w:lang w:val="af-ZA"/>
        </w:rPr>
        <w:t>hông chấp hành các quyết định hành chính của cơ quan nhà nước có thẩm quyền về việc đưa vào cơ sở giáo dục, cơ sở chữa bệnh, quản chế hành chính</w:t>
      </w:r>
      <w:r>
        <w:rPr>
          <w:color w:val="000000"/>
          <w:lang w:val="vi-VN"/>
        </w:rPr>
        <w:t xml:space="preserve">. </w:t>
      </w:r>
      <w:r>
        <w:rPr>
          <w:color w:val="000000"/>
          <w:shd w:val="solid" w:color="FFFFFF" w:fill="auto"/>
          <w:lang w:val="vi-VN"/>
        </w:rPr>
        <w:t>Nếu vụ án đã được khởi tố, đang điều tra, truy tố, xét xử thì phải đình chỉ; trường hợp người bị kết án đang chấp hành hình phạt hoặc đan</w:t>
      </w:r>
      <w:r>
        <w:rPr>
          <w:color w:val="000000"/>
          <w:shd w:val="solid" w:color="FFFFFF" w:fill="auto"/>
          <w:lang w:val="vi-VN"/>
        </w:rPr>
        <w:t>g được tạm đình chỉ thi hành án, thì được miễn chấp hành phần hình phạt còn lại; trường hợp người bị kết án chưa chấp hành hình phạt hoặc đang được hoãn thi hành án, thì được miễn chấp hành toàn bộ hình phạt;</w:t>
      </w:r>
    </w:p>
    <w:p w14:paraId="4CC8D024" w14:textId="77777777" w:rsidR="004D57AC" w:rsidRPr="004D57AC" w:rsidRDefault="004D57AC">
      <w:pPr>
        <w:shd w:val="solid" w:color="FFFFFF" w:fill="auto"/>
        <w:spacing w:after="120"/>
        <w:rPr>
          <w:lang w:val="vi-VN"/>
        </w:rPr>
      </w:pPr>
      <w:r>
        <w:rPr>
          <w:color w:val="000000"/>
          <w:lang w:val="vi-VN"/>
        </w:rPr>
        <w:t xml:space="preserve">đ) Không xử lý </w:t>
      </w:r>
      <w:r w:rsidRPr="004D57AC">
        <w:rPr>
          <w:color w:val="000000"/>
          <w:lang w:val="vi-VN"/>
        </w:rPr>
        <w:t xml:space="preserve">về </w:t>
      </w:r>
      <w:r>
        <w:rPr>
          <w:color w:val="000000"/>
          <w:lang w:val="vi-VN"/>
        </w:rPr>
        <w:t xml:space="preserve">hình sự đối với người từ đủ 14 tuổi đến dưới 16 tuổi về tội phạm không được quy định tại </w:t>
      </w:r>
      <w:bookmarkStart w:id="24" w:name="dc_21"/>
      <w:r>
        <w:rPr>
          <w:color w:val="000000"/>
          <w:lang w:val="vi-VN"/>
        </w:rPr>
        <w:t>khoản 2 Điều 12 và các điểm b, c khoản 2 Điều 14 của Bộ luật hình sự</w:t>
      </w:r>
      <w:r>
        <w:rPr>
          <w:color w:val="000000"/>
          <w:shd w:val="solid" w:color="FFFFFF" w:fill="auto"/>
          <w:lang w:val="vi-VN"/>
        </w:rPr>
        <w:t xml:space="preserve"> năm 2015</w:t>
      </w:r>
      <w:bookmarkEnd w:id="24"/>
      <w:r>
        <w:rPr>
          <w:color w:val="000000"/>
          <w:lang w:val="vi-VN"/>
        </w:rPr>
        <w:t>; nếu vụ án đã được khởi tố, đang điều tra, truy tố, xét xử thì phải đình chỉ; trong trường hợp người đó đã bị kết án và đang chấp hành hình phạt hoặc đang được tạm đình chỉ thi hành án, thì họ được miễn chấp hành phần hình phạt còn lại; nếu người bị kết án chưa chấp hành hình phạt hoặc đang được hoãn thi hành án, thì được miễn chấp hành toàn b</w:t>
      </w:r>
      <w:r>
        <w:rPr>
          <w:color w:val="000000"/>
          <w:lang w:val="vi-VN"/>
        </w:rPr>
        <w:t>ộ hình phạt;</w:t>
      </w:r>
    </w:p>
    <w:p w14:paraId="4EE5C3AD" w14:textId="77777777" w:rsidR="004D57AC" w:rsidRPr="004D57AC" w:rsidRDefault="004D57AC">
      <w:pPr>
        <w:shd w:val="solid" w:color="FFFFFF" w:fill="auto"/>
        <w:spacing w:after="120"/>
        <w:rPr>
          <w:lang w:val="vi-VN"/>
        </w:rPr>
      </w:pPr>
      <w:r>
        <w:rPr>
          <w:color w:val="000000"/>
          <w:lang w:val="vi-VN"/>
        </w:rPr>
        <w:t xml:space="preserve">e) Những người đã chấp hành xong hình phạt hoặc được miễn chấp hành toàn bộ hình phạt hoặc phần hình phạt còn lại theo </w:t>
      </w:r>
      <w:r w:rsidRPr="004D57AC">
        <w:rPr>
          <w:color w:val="000000"/>
          <w:lang w:val="vi-VN"/>
        </w:rPr>
        <w:t xml:space="preserve">quy định tại </w:t>
      </w:r>
      <w:r>
        <w:rPr>
          <w:color w:val="000000"/>
          <w:lang w:val="vi-VN"/>
        </w:rPr>
        <w:t xml:space="preserve">điểm d và điểm đ khoản này, thì đương nhiên được </w:t>
      </w:r>
      <w:r w:rsidRPr="004D57AC">
        <w:rPr>
          <w:color w:val="000000"/>
          <w:lang w:val="vi-VN"/>
        </w:rPr>
        <w:t>xóa</w:t>
      </w:r>
      <w:r>
        <w:rPr>
          <w:color w:val="000000"/>
          <w:lang w:val="vi-VN"/>
        </w:rPr>
        <w:t xml:space="preserve"> án tích.</w:t>
      </w:r>
      <w:r w:rsidRPr="004D57AC">
        <w:rPr>
          <w:color w:val="000000"/>
          <w:lang w:val="vi-VN"/>
        </w:rPr>
        <w:t>”</w:t>
      </w:r>
    </w:p>
    <w:sectPr w:rsidR="00000000" w:rsidRPr="004D57AC">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0ABE5" w14:textId="77777777" w:rsidR="004D57AC" w:rsidRDefault="004D57AC" w:rsidP="004D57AC">
      <w:r>
        <w:separator/>
      </w:r>
    </w:p>
  </w:endnote>
  <w:endnote w:type="continuationSeparator" w:id="0">
    <w:p w14:paraId="4E417C6E" w14:textId="77777777" w:rsidR="004D57AC" w:rsidRDefault="004D57AC" w:rsidP="004D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86D9" w14:textId="77777777" w:rsidR="004D57AC" w:rsidRPr="001E142E" w:rsidRDefault="004D57AC" w:rsidP="004D57AC">
    <w:pPr>
      <w:pStyle w:val="Footer"/>
      <w:tabs>
        <w:tab w:val="left" w:pos="1409"/>
      </w:tabs>
      <w:jc w:val="both"/>
      <w:rPr>
        <w:color w:val="2C3579"/>
        <w:sz w:val="14"/>
        <w:szCs w:val="14"/>
      </w:rPr>
    </w:pPr>
    <w:r w:rsidRPr="001E142E">
      <w:rPr>
        <w:color w:val="2C3579"/>
        <w:sz w:val="14"/>
        <w:szCs w:val="14"/>
      </w:rPr>
      <w:t>Anlawvietnam.com</w:t>
    </w:r>
    <w:r>
      <w:rPr>
        <w:color w:val="2C3579"/>
        <w:sz w:val="14"/>
        <w:szCs w:val="14"/>
      </w:rPr>
      <w:tab/>
    </w:r>
    <w:r>
      <w:rPr>
        <w:color w:val="2C3579"/>
        <w:sz w:val="14"/>
        <w:szCs w:val="14"/>
      </w:rPr>
      <w:tab/>
    </w:r>
    <w:r>
      <w:rPr>
        <w:color w:val="2C3579"/>
        <w:sz w:val="14"/>
        <w:szCs w:val="14"/>
      </w:rPr>
      <w:tab/>
    </w:r>
    <w:r w:rsidRPr="001E142E">
      <w:rPr>
        <w:color w:val="2C3579"/>
        <w:sz w:val="14"/>
        <w:szCs w:val="14"/>
      </w:rPr>
      <w:t>Phone: (+84) 986 995 543</w:t>
    </w:r>
  </w:p>
  <w:p w14:paraId="36E8275F" w14:textId="0C6D98C0" w:rsidR="004D57AC" w:rsidRPr="004D57AC" w:rsidRDefault="004D57AC" w:rsidP="004D57AC">
    <w:pPr>
      <w:pStyle w:val="Footer"/>
      <w:tabs>
        <w:tab w:val="left" w:pos="824"/>
      </w:tabs>
      <w:jc w:val="both"/>
      <w:rPr>
        <w:color w:val="2C3579"/>
        <w:sz w:val="14"/>
        <w:szCs w:val="14"/>
      </w:rPr>
    </w:pPr>
    <w:r w:rsidRPr="007B5912">
      <w:rPr>
        <w:color w:val="2C3579"/>
        <w:sz w:val="14"/>
        <w:szCs w:val="14"/>
      </w:rPr>
      <w:t>Translated by An Law Vietnam</w:t>
    </w:r>
    <w:r>
      <w:rPr>
        <w:color w:val="2C3579"/>
        <w:sz w:val="14"/>
        <w:szCs w:val="14"/>
      </w:rPr>
      <w:tab/>
    </w:r>
    <w:r>
      <w:rPr>
        <w:color w:val="2C3579"/>
        <w:sz w:val="14"/>
        <w:szCs w:val="14"/>
      </w:rPr>
      <w:tab/>
      <w:t xml:space="preserve">    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C0FAF" w14:textId="77777777" w:rsidR="004D57AC" w:rsidRDefault="004D57AC" w:rsidP="004D57AC">
      <w:r>
        <w:separator/>
      </w:r>
    </w:p>
  </w:footnote>
  <w:footnote w:type="continuationSeparator" w:id="0">
    <w:p w14:paraId="22A2DEF0" w14:textId="77777777" w:rsidR="004D57AC" w:rsidRDefault="004D57AC" w:rsidP="004D5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44"/>
    <w:rsid w:val="004D57AC"/>
    <w:rsid w:val="00903144"/>
    <w:rsid w:val="00DD19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FE49A"/>
  <w15:chartTrackingRefBased/>
  <w15:docId w15:val="{13749A4E-60D9-40B7-ADAE-4DA2426C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7AC"/>
    <w:pPr>
      <w:tabs>
        <w:tab w:val="center" w:pos="4680"/>
        <w:tab w:val="right" w:pos="9360"/>
      </w:tabs>
    </w:pPr>
  </w:style>
  <w:style w:type="character" w:customStyle="1" w:styleId="HeaderChar">
    <w:name w:val="Header Char"/>
    <w:basedOn w:val="DefaultParagraphFont"/>
    <w:link w:val="Header"/>
    <w:uiPriority w:val="99"/>
    <w:rsid w:val="004D57AC"/>
    <w:rPr>
      <w:sz w:val="24"/>
      <w:szCs w:val="24"/>
    </w:rPr>
  </w:style>
  <w:style w:type="paragraph" w:styleId="Footer">
    <w:name w:val="footer"/>
    <w:basedOn w:val="Normal"/>
    <w:link w:val="FooterChar"/>
    <w:uiPriority w:val="99"/>
    <w:unhideWhenUsed/>
    <w:rsid w:val="004D57AC"/>
    <w:pPr>
      <w:tabs>
        <w:tab w:val="center" w:pos="4680"/>
        <w:tab w:val="right" w:pos="9360"/>
      </w:tabs>
    </w:pPr>
  </w:style>
  <w:style w:type="character" w:customStyle="1" w:styleId="FooterChar">
    <w:name w:val="Footer Char"/>
    <w:basedOn w:val="DefaultParagraphFont"/>
    <w:link w:val="Footer"/>
    <w:uiPriority w:val="99"/>
    <w:rsid w:val="004D57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5899</Characters>
  <Application>Microsoft Office Word</Application>
  <DocSecurity>0</DocSecurity>
  <Lines>49</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cp:lastModifiedBy>Nghia Do</cp:lastModifiedBy>
  <cp:revision>3</cp:revision>
  <cp:lastPrinted>1601-01-01T00:00:00Z</cp:lastPrinted>
  <dcterms:created xsi:type="dcterms:W3CDTF">2025-10-28T01:51:00Z</dcterms:created>
  <dcterms:modified xsi:type="dcterms:W3CDTF">2025-10-28T01:51:00Z</dcterms:modified>
</cp:coreProperties>
</file>