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A53411" w14:textId="77777777">
        <w:tc>
          <w:tcPr>
            <w:tcW w:w="3348" w:type="dxa"/>
            <w:tcBorders>
              <w:top w:val="nil"/>
              <w:left w:val="nil"/>
              <w:bottom w:val="nil"/>
              <w:right w:val="nil"/>
              <w:tl2br w:val="nil"/>
              <w:tr2bl w:val="nil"/>
            </w:tcBorders>
            <w:tcMar>
              <w:top w:w="0" w:type="dxa"/>
              <w:left w:w="108" w:type="dxa"/>
              <w:bottom w:w="0" w:type="dxa"/>
              <w:right w:w="108" w:type="dxa"/>
            </w:tcMar>
          </w:tcPr>
          <w:p w14:paraId="209E0AE6" w14:textId="77777777" w:rsidR="00AB60E9" w:rsidRDefault="00AB60E9">
            <w:pPr>
              <w:spacing w:before="120"/>
              <w:jc w:val="center"/>
            </w:pPr>
            <w:r>
              <w:rPr>
                <w:b/>
                <w:bCs/>
              </w:rPr>
              <w:t>TÒA ÁN NHÂN DÂN TỐI CAO</w:t>
            </w:r>
            <w:r>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6A14E515" w14:textId="77777777" w:rsidR="00AB60E9" w:rsidRDefault="00AB60E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7BF7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2CB370E" w14:textId="77777777" w:rsidR="00AB60E9" w:rsidRDefault="00AB60E9">
            <w:pPr>
              <w:spacing w:before="120"/>
            </w:pPr>
            <w:bookmarkStart w:id="0" w:name="loai_1"/>
            <w:r>
              <w:rPr>
                <w:lang w:val="vi-VN"/>
              </w:rPr>
              <w:t>Số: 148/TANDTC-PC</w:t>
            </w:r>
            <w:bookmarkEnd w:id="0"/>
            <w:r>
              <w:br/>
            </w:r>
            <w:bookmarkStart w:id="1" w:name="loai_1_name"/>
            <w:r>
              <w:rPr>
                <w:i/>
                <w:iCs/>
                <w:sz w:val="16"/>
                <w:lang w:val="vi-VN"/>
              </w:rPr>
              <w:t>V/v triển khai, thi hành Bộ luật Hình sự năm 2015 và Nghị quyết số 41/2017/QH14 của Quốc hội</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290C0DD9" w14:textId="77777777" w:rsidR="00AB60E9" w:rsidRDefault="00AB60E9">
            <w:pPr>
              <w:spacing w:before="120"/>
              <w:jc w:val="right"/>
            </w:pPr>
            <w:r>
              <w:rPr>
                <w:i/>
                <w:iCs/>
              </w:rPr>
              <w:t>Hà Nội</w:t>
            </w:r>
            <w:r>
              <w:rPr>
                <w:i/>
                <w:iCs/>
                <w:lang w:val="vi-VN"/>
              </w:rPr>
              <w:t xml:space="preserve">, ngày </w:t>
            </w:r>
            <w:r>
              <w:rPr>
                <w:i/>
                <w:iCs/>
              </w:rPr>
              <w:t>12</w:t>
            </w:r>
            <w:r>
              <w:rPr>
                <w:i/>
                <w:iCs/>
                <w:lang w:val="vi-VN"/>
              </w:rPr>
              <w:t xml:space="preserve"> tháng </w:t>
            </w:r>
            <w:r>
              <w:rPr>
                <w:i/>
                <w:iCs/>
              </w:rPr>
              <w:t>07</w:t>
            </w:r>
            <w:r>
              <w:rPr>
                <w:i/>
                <w:iCs/>
                <w:lang w:val="vi-VN"/>
              </w:rPr>
              <w:t xml:space="preserve"> năm </w:t>
            </w:r>
            <w:r>
              <w:rPr>
                <w:i/>
                <w:iCs/>
              </w:rPr>
              <w:t>2017</w:t>
            </w:r>
          </w:p>
        </w:tc>
      </w:tr>
    </w:tbl>
    <w:p w14:paraId="04D98A62" w14:textId="77777777" w:rsidR="00AB60E9" w:rsidRDefault="00AB6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7E629B8E" w14:textId="77777777">
        <w:tc>
          <w:tcPr>
            <w:tcW w:w="2988" w:type="dxa"/>
            <w:tcBorders>
              <w:top w:val="nil"/>
              <w:left w:val="nil"/>
              <w:bottom w:val="nil"/>
              <w:right w:val="nil"/>
              <w:tl2br w:val="nil"/>
              <w:tr2bl w:val="nil"/>
            </w:tcBorders>
            <w:tcMar>
              <w:top w:w="0" w:type="dxa"/>
              <w:left w:w="108" w:type="dxa"/>
              <w:bottom w:w="0" w:type="dxa"/>
              <w:right w:w="108" w:type="dxa"/>
            </w:tcMar>
          </w:tcPr>
          <w:p w14:paraId="289E7F9C" w14:textId="77777777" w:rsidR="00AB60E9" w:rsidRDefault="00AB60E9">
            <w:pPr>
              <w:spacing w:before="120"/>
              <w:jc w:val="right"/>
            </w:pPr>
            <w:r>
              <w:rPr>
                <w:b/>
                <w:bCs/>
                <w:lang w:val="vi-VN"/>
              </w:rPr>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63924B60" w14:textId="77777777" w:rsidR="00AB60E9" w:rsidRDefault="00AB60E9">
            <w:pPr>
              <w:spacing w:before="120"/>
            </w:pPr>
            <w:r>
              <w:rPr>
                <w:lang w:val="vi-VN"/>
              </w:rPr>
              <w:t>- Các Tòa án nhân dân và Tòa án quân sự các cấp;</w:t>
            </w:r>
            <w:r>
              <w:br/>
            </w:r>
            <w:r>
              <w:rPr>
                <w:lang w:val="vi-VN"/>
              </w:rPr>
              <w:t>- Các đơn vị thuộc Tòa án nhân dân tối cao.</w:t>
            </w:r>
          </w:p>
        </w:tc>
      </w:tr>
    </w:tbl>
    <w:p w14:paraId="27F69631" w14:textId="77777777" w:rsidR="00AB60E9" w:rsidRPr="00AB60E9" w:rsidRDefault="00AB60E9">
      <w:pPr>
        <w:spacing w:before="120" w:after="280" w:afterAutospacing="1"/>
        <w:rPr>
          <w:lang w:val="vi-VN"/>
        </w:rPr>
      </w:pPr>
      <w:r>
        <w:rPr>
          <w:lang w:val="vi-VN"/>
        </w:rPr>
        <w:t>Ngày 20-6-2017, Quốc hội nước Cộng h</w:t>
      </w:r>
      <w:r>
        <w:t>òa</w:t>
      </w:r>
      <w:r>
        <w:rPr>
          <w:lang w:val="vi-VN"/>
        </w:rPr>
        <w:t xml:space="preserve"> xã hội chủ nghĩa Việt Nam đã thông qua Luật số 12/2017/QH14 sửa đổi, bổ sung một số điều của Bộ luật Hình sự số 100/2015/QH13 (sau đây gọi là Luật số 12/2017/QH14) và Nghị quyết số 41/2017/QH14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 (sau đây gọi là Nghị quyết số</w:t>
      </w:r>
      <w:r>
        <w:rPr>
          <w:lang w:val="vi-VN"/>
        </w:rPr>
        <w:t xml:space="preserve"> 41). Nghị quyết số 41 có hiệu lực thi hành kể từ ngày 05-7-2017. Đ</w:t>
      </w:r>
      <w:r w:rsidRPr="00AB60E9">
        <w:rPr>
          <w:lang w:val="vi-VN"/>
        </w:rPr>
        <w:t>ể</w:t>
      </w:r>
      <w:r>
        <w:rPr>
          <w:lang w:val="vi-VN"/>
        </w:rPr>
        <w:t xml:space="preserve"> triển khai, thi hành Bộ luật Hình sự số 100/2015/QH13 đã được sửa đổi, bổ sung một số điều theo Luật số 12/2017/QH14 (sau đây gọi là Bộ luật Hình sự năm 2015) và Nghị quyết số 41, Tòa án nhân dân tối cao yêu cầu Chánh án Tòa án nhân dân, Tòa án quân sự các cấp, Thủ trưởng các đơn vị thuộc Tòa án nhân dân tối cao trong phạm vi chức năng, nhiệm vụ của mình tổ chức thực hiện các công việc sau đây:</w:t>
      </w:r>
    </w:p>
    <w:p w14:paraId="39EC962A" w14:textId="77777777" w:rsidR="00AB60E9" w:rsidRPr="00AB60E9" w:rsidRDefault="00AB60E9">
      <w:pPr>
        <w:spacing w:before="120" w:after="280" w:afterAutospacing="1"/>
        <w:rPr>
          <w:lang w:val="vi-VN"/>
        </w:rPr>
      </w:pPr>
      <w:r>
        <w:rPr>
          <w:lang w:val="vi-VN"/>
        </w:rPr>
        <w:t>1. Tòa án nhân dân, Tòa án quân sự các cấp, Vụ Giám đốc kiểm tra I và các đơn vị khác có liên quan thuộc Tòa án nhân dân tối cao:</w:t>
      </w:r>
    </w:p>
    <w:p w14:paraId="4449A439" w14:textId="77777777" w:rsidR="00AB60E9" w:rsidRPr="00AB60E9" w:rsidRDefault="00AB60E9">
      <w:pPr>
        <w:spacing w:before="120" w:after="280" w:afterAutospacing="1"/>
        <w:rPr>
          <w:lang w:val="vi-VN"/>
        </w:rPr>
      </w:pPr>
      <w:r>
        <w:rPr>
          <w:lang w:val="vi-VN"/>
        </w:rPr>
        <w:t xml:space="preserve">a) Rà soát các vụ án hình sự mà Tòa án, đơn vị mình đang thụ lý, giải quyết, nếu thuộc trường hợp quy định tại </w:t>
      </w:r>
      <w:bookmarkStart w:id="2" w:name="dc_1"/>
      <w:r>
        <w:rPr>
          <w:lang w:val="vi-VN"/>
        </w:rPr>
        <w:t>khoản 2 Điều 2 của Nghị quyết số 41</w:t>
      </w:r>
      <w:bookmarkEnd w:id="2"/>
      <w:r>
        <w:rPr>
          <w:lang w:val="vi-VN"/>
        </w:rPr>
        <w:t xml:space="preserve"> thì tiếp tục thực hiện việc chuyển hình phạt tử hình thành hình phạt tù chung thân, miễn chấp hành phần hình phạt còn lại hoặc miễn chấp hành toàn bộ hình phạt, đình chỉ vụ án theo quy định tại </w:t>
      </w:r>
      <w:bookmarkStart w:id="3" w:name="dc_2"/>
      <w:r>
        <w:rPr>
          <w:lang w:val="vi-VN"/>
        </w:rPr>
        <w:t>khoản 2 Điều 2 Nghị quyết số 41</w:t>
      </w:r>
      <w:bookmarkEnd w:id="3"/>
      <w:r>
        <w:rPr>
          <w:lang w:val="vi-VN"/>
        </w:rPr>
        <w:t>.</w:t>
      </w:r>
    </w:p>
    <w:p w14:paraId="582DE5D0" w14:textId="77777777" w:rsidR="00AB60E9" w:rsidRPr="00AB60E9" w:rsidRDefault="00AB60E9">
      <w:pPr>
        <w:spacing w:before="120" w:after="280" w:afterAutospacing="1"/>
        <w:rPr>
          <w:lang w:val="vi-VN"/>
        </w:rPr>
      </w:pPr>
      <w:r>
        <w:rPr>
          <w:lang w:val="vi-VN"/>
        </w:rPr>
        <w:t>b) Phối hợp với Viện kiểm sát nhân dân, các cơ sở giam giữ, cơ quan thi hành án hình sự, cơ quan thi hành án dân sự rà soát các đối tượng người bị kết án mà thuộc diện được chuyển hình phạt tử hình thành hình phạt tù chung thân hoặc được miễn chấp hành hình phạt theo Nghị quyết số 41 để làm thủ tục chuyển hình phạt tử hình thành hình phạt tù chung thân hoặc miễn chấp hành hình phạt cho họ.</w:t>
      </w:r>
    </w:p>
    <w:p w14:paraId="73D644DC" w14:textId="77777777" w:rsidR="00AB60E9" w:rsidRPr="00AB60E9" w:rsidRDefault="00AB60E9">
      <w:pPr>
        <w:spacing w:before="120" w:after="280" w:afterAutospacing="1"/>
        <w:rPr>
          <w:lang w:val="vi-VN"/>
        </w:rPr>
      </w:pPr>
      <w:r>
        <w:rPr>
          <w:lang w:val="vi-VN"/>
        </w:rPr>
        <w:t>c) Xây dựng Kế hoạch tổ chức triển khai, quán triệt thực hiện Bộ luật Hình sự năm 2015 và Nghị quyết số 41 trong phạm vi cơ quan, đơn vị mình.</w:t>
      </w:r>
    </w:p>
    <w:p w14:paraId="7E1CA620" w14:textId="77777777" w:rsidR="00AB60E9" w:rsidRPr="00AB60E9" w:rsidRDefault="00AB60E9">
      <w:pPr>
        <w:spacing w:before="120" w:after="280" w:afterAutospacing="1"/>
        <w:rPr>
          <w:lang w:val="vi-VN"/>
        </w:rPr>
      </w:pPr>
      <w:r>
        <w:rPr>
          <w:lang w:val="vi-VN"/>
        </w:rPr>
        <w:t>d) Thông qua thực tiễn xét xử, phản ánh vướng mắc, kiến nghị về Tòa án nhân dân tối cao để có giải thích, hướng dẫn kịp thời.</w:t>
      </w:r>
    </w:p>
    <w:p w14:paraId="2C1E23B8" w14:textId="77777777" w:rsidR="00AB60E9" w:rsidRPr="00AB60E9" w:rsidRDefault="00AB60E9">
      <w:pPr>
        <w:spacing w:before="120" w:after="280" w:afterAutospacing="1"/>
        <w:rPr>
          <w:lang w:val="vi-VN"/>
        </w:rPr>
      </w:pPr>
      <w:r>
        <w:rPr>
          <w:lang w:val="vi-VN"/>
        </w:rPr>
        <w:t>2. Vụ Pháp chế và Quản lý khoa học Tòa án nhân dân tối cao:</w:t>
      </w:r>
    </w:p>
    <w:p w14:paraId="1B4D1AB2" w14:textId="77777777" w:rsidR="00AB60E9" w:rsidRPr="00AB60E9" w:rsidRDefault="00AB60E9">
      <w:pPr>
        <w:spacing w:before="120" w:after="280" w:afterAutospacing="1"/>
        <w:rPr>
          <w:lang w:val="vi-VN"/>
        </w:rPr>
      </w:pPr>
      <w:r>
        <w:rPr>
          <w:lang w:val="vi-VN"/>
        </w:rPr>
        <w:lastRenderedPageBreak/>
        <w:t xml:space="preserve">a) Dự thảo Công văn quán triệt thi hành quy định tại </w:t>
      </w:r>
      <w:bookmarkStart w:id="4" w:name="dc_3"/>
      <w:r>
        <w:rPr>
          <w:lang w:val="vi-VN"/>
        </w:rPr>
        <w:t>khoản 2 Điều 2 Nghị quyết số 41</w:t>
      </w:r>
      <w:bookmarkEnd w:id="4"/>
      <w:r>
        <w:rPr>
          <w:lang w:val="vi-VN"/>
        </w:rPr>
        <w:t xml:space="preserve"> và Công văn hướng dẫn xử lý hành vi tàng trữ, vận chuyển, buôn bán thuốc lá điếu nhập lậu trong nội địa trình Chánh án Tòa án nhân dân tối cao ký ban hành.</w:t>
      </w:r>
    </w:p>
    <w:p w14:paraId="7805D1C3" w14:textId="77777777" w:rsidR="00AB60E9" w:rsidRPr="00AB60E9" w:rsidRDefault="00AB60E9">
      <w:pPr>
        <w:spacing w:before="120" w:after="280" w:afterAutospacing="1"/>
        <w:rPr>
          <w:lang w:val="vi-VN"/>
        </w:rPr>
      </w:pPr>
      <w:r>
        <w:rPr>
          <w:lang w:val="vi-VN"/>
        </w:rPr>
        <w:t>b) Xây dựng Kế hoạch triển khai thi hành Bộ luật Hình sự năm 2015 và Nghị quyết số 41 trình Chánh án Tòa án nhân dân tối cao ký ban hành.</w:t>
      </w:r>
    </w:p>
    <w:p w14:paraId="124D2166" w14:textId="77777777" w:rsidR="00AB60E9" w:rsidRPr="00AB60E9" w:rsidRDefault="00AB60E9">
      <w:pPr>
        <w:spacing w:before="120" w:after="280" w:afterAutospacing="1"/>
        <w:rPr>
          <w:lang w:val="vi-VN"/>
        </w:rPr>
      </w:pPr>
      <w:r>
        <w:rPr>
          <w:lang w:val="vi-VN"/>
        </w:rPr>
        <w:t>c) Tham mưu cho Chánh án Tòa án nhân dân tối cao bảo đảm áp dụng thống nhất pháp luật trong xét xử các quy định về “gây hậu quả nghiêm trọng”, “gây hậu quả rất nghiêm trọng”, “gây hậu quả đặc biệt nghiêm trọng”, “số lượng lớn”, “số lượng rất lớn”, “số l</w:t>
      </w:r>
      <w:r w:rsidRPr="00AB60E9">
        <w:rPr>
          <w:lang w:val="vi-VN"/>
        </w:rPr>
        <w:t>ư</w:t>
      </w:r>
      <w:r>
        <w:rPr>
          <w:lang w:val="vi-VN"/>
        </w:rPr>
        <w:t>ợng đặc biệt l</w:t>
      </w:r>
      <w:r w:rsidRPr="00AB60E9">
        <w:rPr>
          <w:lang w:val="vi-VN"/>
        </w:rPr>
        <w:t>ớ</w:t>
      </w:r>
      <w:r>
        <w:rPr>
          <w:lang w:val="vi-VN"/>
        </w:rPr>
        <w:t>n”, “giá trị lớn”, “giá trị rất lớn”, “giá trị đặc biệt lớn” và các điều, khoản, điểm khác trong Bộ luật Hình sự năm 2015.</w:t>
      </w:r>
    </w:p>
    <w:p w14:paraId="34070DC3" w14:textId="77777777" w:rsidR="00AB60E9" w:rsidRPr="00AB60E9" w:rsidRDefault="00AB60E9">
      <w:pPr>
        <w:spacing w:before="120" w:after="280" w:afterAutospacing="1"/>
        <w:rPr>
          <w:lang w:val="vi-VN"/>
        </w:rPr>
      </w:pPr>
      <w:r>
        <w:rPr>
          <w:lang w:val="vi-VN"/>
        </w:rPr>
        <w:t>d) Là đầu mối phối hợp tổ chức rà soát các văn bản quy phạm pháp luật có liên quan; tham mưu, đề xuất việc bãi b</w:t>
      </w:r>
      <w:r w:rsidRPr="00AB60E9">
        <w:rPr>
          <w:lang w:val="vi-VN"/>
        </w:rPr>
        <w:t>ỏ</w:t>
      </w:r>
      <w:r>
        <w:rPr>
          <w:lang w:val="vi-VN"/>
        </w:rPr>
        <w:t>, sửa đổi, bổ sung hoặc ban hành văn bản quy phạm pháp luật mới bảo đảm phù hợp với quy định của Bộ luật Hình sự năm 2015;</w:t>
      </w:r>
    </w:p>
    <w:p w14:paraId="0DA7C52A" w14:textId="77777777" w:rsidR="00AB60E9" w:rsidRPr="00AB60E9" w:rsidRDefault="00AB60E9">
      <w:pPr>
        <w:spacing w:before="120" w:after="280" w:afterAutospacing="1"/>
        <w:rPr>
          <w:lang w:val="vi-VN"/>
        </w:rPr>
      </w:pPr>
      <w:r>
        <w:rPr>
          <w:lang w:val="vi-VN"/>
        </w:rPr>
        <w:t>đ) Tiếp nhận phản ánh của Tòa án các cấp về các vướng mắc liên quan đến triển khai, thi hành Bộ luật hình sự năm 2015, Nghị quyết số 41; tham mưu, đề xuất với Lãnh đạo Tòa án nhân dân tối cao hướng giải quyết.</w:t>
      </w:r>
    </w:p>
    <w:p w14:paraId="78438F22" w14:textId="77777777" w:rsidR="00AB60E9" w:rsidRPr="00AB60E9" w:rsidRDefault="00AB60E9">
      <w:pPr>
        <w:spacing w:before="120" w:after="280" w:afterAutospacing="1"/>
        <w:rPr>
          <w:lang w:val="vi-VN"/>
        </w:rPr>
      </w:pPr>
      <w:r>
        <w:rPr>
          <w:lang w:val="vi-VN"/>
        </w:rPr>
        <w:t>c) Chủ trì hoặc phối hợp với các đơn vị có liên quan tổ chức các Hội nghị triển khai, tập huấn chuyên sâu và các hoạt động khác có liên quan đến việc tổ chức, thi hành Bộ luật Hình sự năm 2015 và Nghị quyết số 41.</w:t>
      </w:r>
    </w:p>
    <w:p w14:paraId="52D6F201" w14:textId="77777777" w:rsidR="00AB60E9" w:rsidRPr="00AB60E9" w:rsidRDefault="00AB60E9">
      <w:pPr>
        <w:spacing w:before="120" w:after="280" w:afterAutospacing="1"/>
        <w:rPr>
          <w:lang w:val="vi-VN"/>
        </w:rPr>
      </w:pPr>
      <w:r>
        <w:rPr>
          <w:lang w:val="vi-VN"/>
        </w:rPr>
        <w:t>3. Cục Kế hoạch - Tài chính Tòa án nhân dân tối cao bảo đảm kinh phí cho việc thực hiện Kế hoạch triển khai thi hành Bộ luật Hình sự năm 2015 trong Tòa án nhân dân.</w:t>
      </w:r>
    </w:p>
    <w:p w14:paraId="1B0EE483" w14:textId="77777777" w:rsidR="00AB60E9" w:rsidRPr="00AB60E9" w:rsidRDefault="00AB60E9">
      <w:pPr>
        <w:spacing w:before="120" w:after="280" w:afterAutospacing="1"/>
        <w:rPr>
          <w:lang w:val="vi-VN"/>
        </w:rPr>
      </w:pPr>
      <w:r>
        <w:rPr>
          <w:lang w:val="vi-VN"/>
        </w:rPr>
        <w:t>4. Học viện Tòa án biên soạn, chỉnh lý hệ thống giáo trình, tài liệu giảng dạy phù hợp với quy định của Bộ luật Hình sự năm 2015; tổ chức giảng dạy, tập hu</w:t>
      </w:r>
      <w:r w:rsidRPr="00AB60E9">
        <w:rPr>
          <w:lang w:val="vi-VN"/>
        </w:rPr>
        <w:t>ấ</w:t>
      </w:r>
      <w:r>
        <w:rPr>
          <w:lang w:val="vi-VN"/>
        </w:rPr>
        <w:t>n về các quy định mới của Bộ luật Hình sự năm 2015 và Nghị quyết số 41. Trong quá trình thực hiện chức năng nhiệm vụ, cần phản ánh kịp thời những ý kiến, vướng m</w:t>
      </w:r>
      <w:r w:rsidRPr="00AB60E9">
        <w:rPr>
          <w:lang w:val="vi-VN"/>
        </w:rPr>
        <w:t>ắ</w:t>
      </w:r>
      <w:r>
        <w:rPr>
          <w:lang w:val="vi-VN"/>
        </w:rPr>
        <w:t>c liên quan đ</w:t>
      </w:r>
      <w:r w:rsidRPr="00AB60E9">
        <w:rPr>
          <w:lang w:val="vi-VN"/>
        </w:rPr>
        <w:t>ế</w:t>
      </w:r>
      <w:r>
        <w:rPr>
          <w:lang w:val="vi-VN"/>
        </w:rPr>
        <w:t>n triển khai, thi hành Bộ luật Hình sự năm 2015 và Nghị quyết số 41.</w:t>
      </w:r>
    </w:p>
    <w:p w14:paraId="25612865" w14:textId="77777777" w:rsidR="00AB60E9" w:rsidRPr="00AB60E9" w:rsidRDefault="00AB60E9">
      <w:pPr>
        <w:spacing w:before="120" w:after="280" w:afterAutospacing="1"/>
        <w:rPr>
          <w:lang w:val="vi-VN"/>
        </w:rPr>
      </w:pPr>
      <w:r>
        <w:rPr>
          <w:lang w:val="vi-VN"/>
        </w:rPr>
        <w:t>5. Văn phòng Tòa án nhân dân tối cao chủ trì, phối hợp với Vụ Tổng hợp, Vụ Pháp ch</w:t>
      </w:r>
      <w:r w:rsidRPr="00AB60E9">
        <w:rPr>
          <w:lang w:val="vi-VN"/>
        </w:rPr>
        <w:t>ế</w:t>
      </w:r>
      <w:r>
        <w:rPr>
          <w:lang w:val="vi-VN"/>
        </w:rPr>
        <w:t xml:space="preserve"> và Quản lý khoa học và các đơn vị có liên quan tổ chức Hội nghị tập hu</w:t>
      </w:r>
      <w:r w:rsidRPr="00AB60E9">
        <w:rPr>
          <w:lang w:val="vi-VN"/>
        </w:rPr>
        <w:t>ấ</w:t>
      </w:r>
      <w:r>
        <w:rPr>
          <w:lang w:val="vi-VN"/>
        </w:rPr>
        <w:t>n trực tuyến toàn quốc về Bộ luật Hình sự năm 2015 và Nghị quyết số 41.</w:t>
      </w:r>
    </w:p>
    <w:p w14:paraId="1B576404" w14:textId="77777777" w:rsidR="00AB60E9" w:rsidRPr="00AB60E9" w:rsidRDefault="00AB60E9">
      <w:pPr>
        <w:spacing w:before="120" w:after="280" w:afterAutospacing="1"/>
        <w:rPr>
          <w:lang w:val="vi-VN"/>
        </w:rPr>
      </w:pPr>
      <w:r>
        <w:rPr>
          <w:lang w:val="vi-VN"/>
        </w:rPr>
        <w:t>6. Cổng thông tin điện tử Tòa án nhân dân tối cao đăng tải Kế hoạch triển khai thi hành, các dự thảo văn bản quy phạm pháp luật hướng dẫn thi hành, các văn bản quy phạm pháp luật, công văn hướng dẫn thi hành Bộ luật Hình sự năm 2015 và Nghị quyết số 41; tuyên truyền, phổ biến Bộ luật Hình sự năm 2015 và Nghị quyết số 41.</w:t>
      </w:r>
    </w:p>
    <w:p w14:paraId="02A49F36" w14:textId="77777777" w:rsidR="00AB60E9" w:rsidRPr="00AB60E9" w:rsidRDefault="00AB60E9">
      <w:pPr>
        <w:spacing w:before="120" w:after="280" w:afterAutospacing="1"/>
        <w:rPr>
          <w:lang w:val="vi-VN"/>
        </w:rPr>
      </w:pPr>
      <w:r>
        <w:rPr>
          <w:lang w:val="vi-VN"/>
        </w:rPr>
        <w:t>7. Báo Công lý, Tạp chí Tòa án nhân dân tuyên truyền, phổ biến Bộ luật Hình sự năm 2015, Nghị quyết số 41 và đăng tải Kế hoạch triển khai thi hành Bộ luật Hình sự năm 2015, các văn bản hướng dẫn thi hành Bộ luật Hình sự năm 2015.</w:t>
      </w:r>
    </w:p>
    <w:p w14:paraId="007C7F1D" w14:textId="77777777" w:rsidR="00AB60E9" w:rsidRPr="00AB60E9" w:rsidRDefault="00AB60E9">
      <w:pPr>
        <w:spacing w:before="120" w:after="280" w:afterAutospacing="1"/>
        <w:rPr>
          <w:lang w:val="vi-VN"/>
        </w:rPr>
      </w:pPr>
      <w:r>
        <w:rPr>
          <w:lang w:val="vi-VN"/>
        </w:rPr>
        <w:lastRenderedPageBreak/>
        <w:t>Tòa án nhân dân tối cao yêu cầu các đồng chí Chánh án Tòa án nhân dân và Tòa án quân sự các cấp, Thủ trưởng các đơn vị thuộc Tòa án nhân dân tối cao ngay khi nhận được Công văn này cần tổ chức, quán triệt đến các Thẩm phán, Thẩm tra viên, Thư ký Tòa án trong cơ quan, đơn vị mình thực hiện nghiêm túc. Trong quá trình thực hiện nếu có vướng mắc cần giải thích, hướng dẫn thì báo cáo Tòa án nhân dân tối cao (thông qua Vụ Pháp chế và Quản lý khoa học) để có sự giải thích, hướng dẫn kịp thời./.</w:t>
      </w:r>
    </w:p>
    <w:p w14:paraId="43251A42" w14:textId="77777777" w:rsidR="00AB60E9" w:rsidRPr="00AB60E9" w:rsidRDefault="00AB60E9">
      <w:pPr>
        <w:spacing w:before="120" w:after="280" w:afterAutospacing="1"/>
        <w:rPr>
          <w:lang w:val="vi-VN"/>
        </w:rPr>
      </w:pPr>
      <w:r w:rsidRPr="00AB60E9">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AB60E9" w14:paraId="3A5BF61F" w14:textId="77777777">
        <w:tc>
          <w:tcPr>
            <w:tcW w:w="4428" w:type="dxa"/>
            <w:tcBorders>
              <w:top w:val="nil"/>
              <w:left w:val="nil"/>
              <w:bottom w:val="nil"/>
              <w:right w:val="nil"/>
              <w:tl2br w:val="nil"/>
              <w:tr2bl w:val="nil"/>
            </w:tcBorders>
            <w:tcMar>
              <w:top w:w="0" w:type="dxa"/>
              <w:left w:w="108" w:type="dxa"/>
              <w:bottom w:w="0" w:type="dxa"/>
              <w:right w:w="108" w:type="dxa"/>
            </w:tcMar>
          </w:tcPr>
          <w:p w14:paraId="016D3296" w14:textId="77777777" w:rsidR="00AB60E9" w:rsidRPr="00AB60E9" w:rsidRDefault="00AB60E9">
            <w:pPr>
              <w:spacing w:before="120"/>
              <w:rPr>
                <w:lang w:val="vi-VN"/>
              </w:rPr>
            </w:pPr>
            <w:r w:rsidRPr="00AB60E9">
              <w:rPr>
                <w:b/>
                <w:bCs/>
                <w:i/>
                <w:iCs/>
                <w:lang w:val="vi-VN"/>
              </w:rPr>
              <w:br/>
            </w:r>
            <w:r>
              <w:rPr>
                <w:b/>
                <w:bCs/>
                <w:i/>
                <w:iCs/>
                <w:lang w:val="vi-VN"/>
              </w:rPr>
              <w:t>Nơi nhận:</w:t>
            </w:r>
            <w:r>
              <w:rPr>
                <w:b/>
                <w:bCs/>
                <w:i/>
                <w:iCs/>
                <w:lang w:val="vi-VN"/>
              </w:rPr>
              <w:br/>
            </w:r>
            <w:r>
              <w:rPr>
                <w:sz w:val="16"/>
                <w:lang w:val="vi-VN"/>
              </w:rPr>
              <w:t>- Như trên;</w:t>
            </w:r>
            <w:r>
              <w:rPr>
                <w:sz w:val="16"/>
                <w:lang w:val="vi-VN"/>
              </w:rPr>
              <w:br/>
              <w:t>- Chánh án TANDTC (đ</w:t>
            </w:r>
            <w:r w:rsidRPr="00AB60E9">
              <w:rPr>
                <w:sz w:val="16"/>
                <w:lang w:val="vi-VN"/>
              </w:rPr>
              <w:t>ể</w:t>
            </w:r>
            <w:r>
              <w:rPr>
                <w:sz w:val="16"/>
                <w:lang w:val="vi-VN"/>
              </w:rPr>
              <w:t xml:space="preserve"> báo cáo);</w:t>
            </w:r>
            <w:r>
              <w:rPr>
                <w:sz w:val="16"/>
                <w:lang w:val="vi-VN"/>
              </w:rPr>
              <w:br/>
              <w:t>- Các Phó Chánh án TANDTC (để phối hợp chỉ đạo);</w:t>
            </w:r>
            <w:r>
              <w:rPr>
                <w:sz w:val="16"/>
                <w:lang w:val="vi-VN"/>
              </w:rPr>
              <w:br/>
              <w:t>- Các Thẩm phán TANDTC (để biết);</w:t>
            </w:r>
            <w:r>
              <w:rPr>
                <w:sz w:val="16"/>
                <w:lang w:val="vi-VN"/>
              </w:rPr>
              <w:br/>
              <w:t>- Lưu: VT, PC, Khánh.</w:t>
            </w:r>
          </w:p>
        </w:tc>
        <w:tc>
          <w:tcPr>
            <w:tcW w:w="4428" w:type="dxa"/>
            <w:tcBorders>
              <w:top w:val="nil"/>
              <w:left w:val="nil"/>
              <w:bottom w:val="nil"/>
              <w:right w:val="nil"/>
              <w:tl2br w:val="nil"/>
              <w:tr2bl w:val="nil"/>
            </w:tcBorders>
            <w:tcMar>
              <w:top w:w="0" w:type="dxa"/>
              <w:left w:w="108" w:type="dxa"/>
              <w:bottom w:w="0" w:type="dxa"/>
              <w:right w:w="108" w:type="dxa"/>
            </w:tcMar>
          </w:tcPr>
          <w:p w14:paraId="553A5857" w14:textId="77777777" w:rsidR="00AB60E9" w:rsidRPr="00AB60E9" w:rsidRDefault="00AB60E9">
            <w:pPr>
              <w:spacing w:before="120"/>
              <w:jc w:val="center"/>
              <w:rPr>
                <w:lang w:val="vi-VN"/>
              </w:rPr>
            </w:pPr>
            <w:r w:rsidRPr="00AB60E9">
              <w:rPr>
                <w:b/>
                <w:bCs/>
                <w:lang w:val="vi-VN"/>
              </w:rPr>
              <w:t>KT. CHÁNH ÁN</w:t>
            </w:r>
            <w:r w:rsidRPr="00AB60E9">
              <w:rPr>
                <w:b/>
                <w:bCs/>
                <w:lang w:val="vi-VN"/>
              </w:rPr>
              <w:br/>
              <w:t>PHÓ CHÁNH ÁN</w:t>
            </w:r>
            <w:r w:rsidRPr="00AB60E9">
              <w:rPr>
                <w:b/>
                <w:bCs/>
                <w:lang w:val="vi-VN"/>
              </w:rPr>
              <w:br/>
            </w:r>
            <w:r w:rsidRPr="00AB60E9">
              <w:rPr>
                <w:b/>
                <w:bCs/>
                <w:lang w:val="vi-VN"/>
              </w:rPr>
              <w:br/>
            </w:r>
            <w:r w:rsidRPr="00AB60E9">
              <w:rPr>
                <w:b/>
                <w:bCs/>
                <w:lang w:val="vi-VN"/>
              </w:rPr>
              <w:br/>
            </w:r>
            <w:r w:rsidRPr="00AB60E9">
              <w:rPr>
                <w:b/>
                <w:bCs/>
                <w:lang w:val="vi-VN"/>
              </w:rPr>
              <w:br/>
            </w:r>
            <w:r w:rsidRPr="00AB60E9">
              <w:rPr>
                <w:b/>
                <w:bCs/>
                <w:lang w:val="vi-VN"/>
              </w:rPr>
              <w:br/>
              <w:t>Nguyễn Trí Tuệ</w:t>
            </w:r>
          </w:p>
        </w:tc>
      </w:tr>
    </w:tbl>
    <w:p w14:paraId="74FDD382" w14:textId="77777777" w:rsidR="00AB60E9" w:rsidRPr="00AB60E9" w:rsidRDefault="00AB60E9">
      <w:pPr>
        <w:spacing w:before="120" w:after="280" w:afterAutospacing="1"/>
        <w:rPr>
          <w:lang w:val="vi-VN"/>
        </w:rPr>
      </w:pPr>
      <w:r w:rsidRPr="00AB60E9">
        <w:rPr>
          <w:lang w:val="vi-VN"/>
        </w:rPr>
        <w:t> </w:t>
      </w:r>
    </w:p>
    <w:p w14:paraId="48A810AC" w14:textId="77777777" w:rsidR="00AB60E9" w:rsidRPr="00AB60E9" w:rsidRDefault="00AB60E9">
      <w:pPr>
        <w:spacing w:before="120" w:after="280" w:afterAutospacing="1"/>
        <w:rPr>
          <w:lang w:val="vi-VN"/>
        </w:rPr>
      </w:pPr>
      <w:r w:rsidRPr="00AB60E9">
        <w:rPr>
          <w:lang w:val="vi-VN"/>
        </w:rPr>
        <w:t> </w:t>
      </w:r>
    </w:p>
    <w:sectPr w:rsidR="00000000" w:rsidRPr="00AB60E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C997" w14:textId="77777777" w:rsidR="00AB60E9" w:rsidRDefault="00AB60E9" w:rsidP="00AB60E9">
      <w:r>
        <w:separator/>
      </w:r>
    </w:p>
  </w:endnote>
  <w:endnote w:type="continuationSeparator" w:id="0">
    <w:p w14:paraId="43AF2089" w14:textId="77777777" w:rsidR="00AB60E9" w:rsidRDefault="00AB60E9" w:rsidP="00AB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4598" w14:textId="77777777" w:rsidR="00AB60E9" w:rsidRPr="001E142E" w:rsidRDefault="00AB60E9" w:rsidP="00AB60E9">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42890BE" w14:textId="292AF0F2" w:rsidR="00AB60E9" w:rsidRPr="00AB60E9" w:rsidRDefault="00AB60E9" w:rsidP="00AB60E9">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469A" w14:textId="77777777" w:rsidR="00AB60E9" w:rsidRDefault="00AB60E9" w:rsidP="00AB60E9">
      <w:r>
        <w:separator/>
      </w:r>
    </w:p>
  </w:footnote>
  <w:footnote w:type="continuationSeparator" w:id="0">
    <w:p w14:paraId="6CEF8E95" w14:textId="77777777" w:rsidR="00AB60E9" w:rsidRDefault="00AB60E9" w:rsidP="00AB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EE"/>
    <w:rsid w:val="004301EE"/>
    <w:rsid w:val="00AB60E9"/>
    <w:rsid w:val="00DD7E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9AA32"/>
  <w15:chartTrackingRefBased/>
  <w15:docId w15:val="{0557A57F-6BB3-484E-84B5-EA3C369A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E9"/>
    <w:pPr>
      <w:tabs>
        <w:tab w:val="center" w:pos="4680"/>
        <w:tab w:val="right" w:pos="9360"/>
      </w:tabs>
    </w:pPr>
  </w:style>
  <w:style w:type="character" w:customStyle="1" w:styleId="HeaderChar">
    <w:name w:val="Header Char"/>
    <w:basedOn w:val="DefaultParagraphFont"/>
    <w:link w:val="Header"/>
    <w:uiPriority w:val="99"/>
    <w:rsid w:val="00AB60E9"/>
    <w:rPr>
      <w:sz w:val="24"/>
      <w:szCs w:val="24"/>
    </w:rPr>
  </w:style>
  <w:style w:type="paragraph" w:styleId="Footer">
    <w:name w:val="footer"/>
    <w:basedOn w:val="Normal"/>
    <w:link w:val="FooterChar"/>
    <w:uiPriority w:val="99"/>
    <w:unhideWhenUsed/>
    <w:rsid w:val="00AB60E9"/>
    <w:pPr>
      <w:tabs>
        <w:tab w:val="center" w:pos="4680"/>
        <w:tab w:val="right" w:pos="9360"/>
      </w:tabs>
    </w:pPr>
  </w:style>
  <w:style w:type="character" w:customStyle="1" w:styleId="FooterChar">
    <w:name w:val="Footer Char"/>
    <w:basedOn w:val="DefaultParagraphFont"/>
    <w:link w:val="Footer"/>
    <w:uiPriority w:val="99"/>
    <w:rsid w:val="00AB6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4739</Characters>
  <Application>Microsoft Office Word</Application>
  <DocSecurity>0</DocSecurity>
  <Lines>39</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2025-10-28T01:49:00Z</dcterms:created>
  <dcterms:modified xsi:type="dcterms:W3CDTF">2025-10-28T01:49:00Z</dcterms:modified>
</cp:coreProperties>
</file>