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23994" w14:paraId="784825E7" w14:textId="77777777">
        <w:tc>
          <w:tcPr>
            <w:tcW w:w="3348" w:type="dxa"/>
            <w:tcBorders>
              <w:top w:val="nil"/>
              <w:left w:val="nil"/>
              <w:bottom w:val="nil"/>
              <w:right w:val="nil"/>
              <w:tl2br w:val="nil"/>
              <w:tr2bl w:val="nil"/>
            </w:tcBorders>
            <w:tcMar>
              <w:top w:w="0" w:type="dxa"/>
              <w:left w:w="108" w:type="dxa"/>
              <w:bottom w:w="0" w:type="dxa"/>
              <w:right w:w="108" w:type="dxa"/>
            </w:tcMar>
          </w:tcPr>
          <w:p w14:paraId="2A77D3DA" w14:textId="7E2442B7" w:rsidR="008417C5" w:rsidRDefault="008417C5">
            <w:pPr>
              <w:jc w:val="center"/>
            </w:pPr>
            <w:r>
              <w:rPr>
                <w:b/>
                <w:bCs/>
              </w:rPr>
              <w:t>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7DB6A206" w14:textId="77777777" w:rsidR="00256652" w:rsidRDefault="008417C5">
            <w:pPr>
              <w:jc w:val="center"/>
              <w:rPr>
                <w:b/>
                <w:bCs/>
              </w:rPr>
            </w:pPr>
            <w:r>
              <w:rPr>
                <w:b/>
                <w:bCs/>
              </w:rPr>
              <w:t>SOCIALIST REPUBLIC OF VIETNAM</w:t>
            </w:r>
          </w:p>
          <w:p w14:paraId="6853B573" w14:textId="77777777" w:rsidR="00256652" w:rsidRDefault="008417C5">
            <w:pPr>
              <w:jc w:val="center"/>
              <w:rPr>
                <w:b/>
                <w:bCs/>
              </w:rPr>
            </w:pPr>
            <w:r>
              <w:rPr>
                <w:b/>
                <w:bCs/>
              </w:rPr>
              <w:t xml:space="preserve">Independence - Freedom - Happiness </w:t>
            </w:r>
          </w:p>
          <w:p w14:paraId="52072CA2" w14:textId="6272C746" w:rsidR="008417C5" w:rsidRDefault="008417C5">
            <w:pPr>
              <w:jc w:val="center"/>
            </w:pPr>
            <w:r>
              <w:rPr>
                <w:b/>
                <w:bCs/>
              </w:rPr>
              <w:t>---------------</w:t>
            </w:r>
          </w:p>
        </w:tc>
      </w:tr>
      <w:tr w:rsidR="00123994" w14:paraId="0D907BE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2E31412" w14:textId="77777777" w:rsidR="008417C5" w:rsidRDefault="008417C5">
            <w:bookmarkStart w:id="0" w:name="loai_1"/>
            <w:r>
              <w:t>No. 301/TANDTC-PC</w:t>
            </w:r>
            <w:bookmarkEnd w:id="0"/>
            <w:r>
              <w:br/>
            </w:r>
            <w:bookmarkStart w:id="1" w:name="loai_1_name"/>
            <w:r>
              <w:rPr>
                <w:i/>
                <w:iCs/>
                <w:sz w:val="16"/>
              </w:rPr>
              <w:t>V/v applying a number of provisions beneficial to offenders of the 2015 Criminal Code</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5C85A179" w14:textId="77777777" w:rsidR="008417C5" w:rsidRDefault="008417C5">
            <w:pPr>
              <w:jc w:val="right"/>
            </w:pPr>
            <w:r>
              <w:rPr>
                <w:i/>
                <w:iCs/>
              </w:rPr>
              <w:t>Hanoi, October 7, 2016</w:t>
            </w:r>
          </w:p>
        </w:tc>
      </w:tr>
    </w:tbl>
    <w:p w14:paraId="7AECED7B" w14:textId="77777777" w:rsidR="008417C5" w:rsidRDefault="008417C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08"/>
        <w:gridCol w:w="6948"/>
      </w:tblGrid>
      <w:tr w:rsidR="00123994" w14:paraId="77AA8D91" w14:textId="77777777">
        <w:tc>
          <w:tcPr>
            <w:tcW w:w="1908" w:type="dxa"/>
            <w:tcBorders>
              <w:top w:val="nil"/>
              <w:left w:val="nil"/>
              <w:bottom w:val="nil"/>
              <w:right w:val="nil"/>
              <w:tl2br w:val="nil"/>
              <w:tr2bl w:val="nil"/>
            </w:tcBorders>
            <w:tcMar>
              <w:top w:w="0" w:type="dxa"/>
              <w:left w:w="108" w:type="dxa"/>
              <w:bottom w:w="0" w:type="dxa"/>
              <w:right w:w="108" w:type="dxa"/>
            </w:tcMar>
          </w:tcPr>
          <w:p w14:paraId="6E5F6EDB" w14:textId="77777777" w:rsidR="008417C5" w:rsidRDefault="008417C5">
            <w:pPr>
              <w:jc w:val="right"/>
            </w:pPr>
            <w:r>
              <w:rPr>
                <w:b/>
                <w:bCs/>
              </w:rPr>
              <w:t>To:</w:t>
            </w:r>
          </w:p>
        </w:tc>
        <w:tc>
          <w:tcPr>
            <w:tcW w:w="6948" w:type="dxa"/>
            <w:tcBorders>
              <w:top w:val="nil"/>
              <w:left w:val="nil"/>
              <w:bottom w:val="nil"/>
              <w:right w:val="nil"/>
              <w:tl2br w:val="nil"/>
              <w:tr2bl w:val="nil"/>
            </w:tcBorders>
            <w:tcMar>
              <w:top w:w="0" w:type="dxa"/>
              <w:left w:w="108" w:type="dxa"/>
              <w:bottom w:w="0" w:type="dxa"/>
              <w:right w:w="108" w:type="dxa"/>
            </w:tcMar>
          </w:tcPr>
          <w:p w14:paraId="5E2CCC68" w14:textId="77777777" w:rsidR="008417C5" w:rsidRDefault="008417C5">
            <w:r>
              <w:t>- Chief Justices of the People's Courts and Military Courts at all levels; - Heads of units of the Supreme People's Court.</w:t>
            </w:r>
          </w:p>
        </w:tc>
      </w:tr>
    </w:tbl>
    <w:p w14:paraId="6505E112" w14:textId="77777777" w:rsidR="008417C5" w:rsidRDefault="008417C5">
      <w:pPr>
        <w:spacing w:after="120"/>
      </w:pPr>
      <w:r>
        <w:t> </w:t>
      </w:r>
    </w:p>
    <w:p w14:paraId="2D9850DF" w14:textId="77777777" w:rsidR="008417C5" w:rsidRDefault="008417C5">
      <w:pPr>
        <w:spacing w:after="120"/>
      </w:pPr>
      <w:r>
        <w:t>Implementing the National Assembly's Resolution No. 144/2016/QH13 dated 29-6-2016 on postponing the implementation of the 2015 Criminal Code and 03 other relevant laws (hereinafter referred to as Resolution No. 144), on 13-9-2016, the Supreme People's Court issued Official Letter No. 276/TANDTC-PC enclosed with a list of a number of regulations with contents beneficial to offenders crimes of the 2015 Criminal Code.</w:t>
      </w:r>
    </w:p>
    <w:p w14:paraId="476352FA" w14:textId="77777777" w:rsidR="008417C5" w:rsidRDefault="008417C5">
      <w:pPr>
        <w:spacing w:after="120"/>
      </w:pPr>
      <w:r>
        <w:t>In order to ensure the application of contents beneficial to offenders in accordance with the provisions of Clause 3, Article 7 of the 2015 Penal Code, Resolution No. 109/2015/QH13 dated 27-11-2015 (hereinafter referred to as Resolution No. 109), Resolution No. 144 of the National Assembly and guidance in Resolution No. 01/2016/NQ-HDTP dated 30-6-2016 of the Council of Judges of the Supreme People's Court (hereinafter hereinafter referred to as Resolution No. 01), the Supreme People's Court requests comrades to pay attention to the following contents:</w:t>
      </w:r>
      <w:bookmarkStart w:id="2" w:name="dc_2"/>
      <w:bookmarkEnd w:id="2"/>
    </w:p>
    <w:p w14:paraId="4873241A" w14:textId="77777777" w:rsidR="008417C5" w:rsidRDefault="008417C5">
      <w:pPr>
        <w:shd w:val="solid" w:color="FFFFFF" w:fill="auto"/>
        <w:spacing w:after="120"/>
      </w:pPr>
      <w:r>
        <w:rPr>
          <w:b/>
          <w:bCs/>
        </w:rPr>
        <w:t>1.</w:t>
      </w:r>
      <w:r>
        <w:t xml:space="preserve"> According to the provisions of </w:t>
      </w:r>
      <w:bookmarkStart w:id="3" w:name="dc_3"/>
      <w:r>
        <w:rPr>
          <w:color w:val="000000"/>
        </w:rPr>
        <w:t>Clause 2, Article 1 of Resolution No. 109, there are 06 cases</w:t>
      </w:r>
      <w:bookmarkEnd w:id="3"/>
      <w:r>
        <w:fldChar w:fldCharType="begin"/>
      </w:r>
      <w:r>
        <w:instrText>HYPERLINK \l "_ftn1"</w:instrText>
      </w:r>
      <w:r>
        <w:fldChar w:fldCharType="separate"/>
      </w:r>
      <w:r>
        <w:rPr>
          <w:color w:val="000000"/>
          <w:u w:val="single"/>
        </w:rPr>
        <w:t>[1]</w:t>
      </w:r>
      <w:r>
        <w:fldChar w:fldCharType="end"/>
      </w:r>
      <w:r>
        <w:rPr>
          <w:color w:val="000000"/>
        </w:rPr>
        <w:t xml:space="preserve"> in which regulations  beneficial to offenders have been applied since 09-12-2015 (the date </w:t>
      </w:r>
      <w:r>
        <w:rPr>
          <w:color w:val="000000"/>
          <w:shd w:val="solid" w:color="FFFFFF" w:fill="auto"/>
        </w:rPr>
        <w:t xml:space="preserve"> the 2015 Penal Code </w:t>
      </w:r>
      <w:r>
        <w:rPr>
          <w:color w:val="000000"/>
        </w:rPr>
        <w:t xml:space="preserve"> was announced).</w:t>
      </w:r>
    </w:p>
    <w:p w14:paraId="043CC6C6" w14:textId="77777777" w:rsidR="008417C5" w:rsidRDefault="008417C5">
      <w:pPr>
        <w:shd w:val="solid" w:color="FFFFFF" w:fill="auto"/>
        <w:spacing w:after="120"/>
      </w:pPr>
      <w:r>
        <w:rPr>
          <w:b/>
          <w:bCs/>
        </w:rPr>
        <w:t>2.</w:t>
      </w:r>
      <w:r>
        <w:t xml:space="preserve"> On 30-6-2016, the Council of Judges of the Supreme People's Court issued Resolution No. 01 guiding the addition of 02 more cases of application of regulations beneficial to offenders from 09-12-2015, namely: (1) Persons who commit acts that according to the provisions of the 1999 Penal Code are crimes but according to the provisions of the 2015 Penal Code, such act has not yet constituted a crime due to the addition or change of criminal elements and constitutes such crime (but does not fall into the case specified at Point e, Clause 1, Article 1 of Resolution No. 109); and (2) Persons who commit acts of preparing to commit crimes, except for the crimes specified in Clause 2, Article 14 of the 2015 Criminal Code.</w:t>
      </w:r>
      <w:bookmarkStart w:id="4" w:name="dc_4"/>
      <w:bookmarkStart w:id="5" w:name="dc_5"/>
      <w:bookmarkEnd w:id="4"/>
      <w:bookmarkEnd w:id="5"/>
    </w:p>
    <w:p w14:paraId="2AA25ECA" w14:textId="77777777" w:rsidR="008417C5" w:rsidRDefault="008417C5">
      <w:pPr>
        <w:shd w:val="solid" w:color="FFFFFF" w:fill="auto"/>
        <w:spacing w:after="120"/>
      </w:pPr>
      <w:r>
        <w:rPr>
          <w:b/>
          <w:bCs/>
        </w:rPr>
        <w:t>3.</w:t>
      </w:r>
      <w:r>
        <w:t xml:space="preserve"> At Point a, Clause 4, Article 1 of Resolution No. 144 stipulates:</w:t>
      </w:r>
      <w:bookmarkStart w:id="6" w:name="dc_22"/>
      <w:bookmarkEnd w:id="6"/>
    </w:p>
    <w:p w14:paraId="321B4273" w14:textId="77777777" w:rsidR="008417C5" w:rsidRDefault="008417C5">
      <w:pPr>
        <w:shd w:val="solid" w:color="FFFFFF" w:fill="auto"/>
        <w:spacing w:after="120"/>
      </w:pPr>
      <w:r>
        <w:rPr>
          <w:i/>
          <w:iCs/>
        </w:rPr>
        <w:t>"4. From July 1, 2016:</w:t>
      </w:r>
    </w:p>
    <w:p w14:paraId="5AD1122A" w14:textId="77777777" w:rsidR="008417C5" w:rsidRDefault="008417C5">
      <w:pPr>
        <w:shd w:val="solid" w:color="FFFFFF" w:fill="auto"/>
        <w:spacing w:after="120"/>
      </w:pPr>
      <w:r>
        <w:rPr>
          <w:i/>
          <w:iCs/>
        </w:rPr>
        <w:t>a) Implement the provisions beneficial to offenders in Clause 3, Article 7 of the Penal Code No. 100/2015/QH13 and Point b, Clause 1, Article 1 of Resolution No. 109/2015/QH13 on the implementation of the Penal Code; continue to apply Clause 2, Article 1 and other provisions beneficial to offenders in Resolution No. 109/2015/QH13".</w:t>
      </w:r>
      <w:bookmarkStart w:id="7" w:name="dc_18"/>
      <w:bookmarkStart w:id="8" w:name="dc_1"/>
      <w:bookmarkStart w:id="9" w:name="dc_17"/>
      <w:bookmarkEnd w:id="7"/>
      <w:bookmarkEnd w:id="8"/>
      <w:bookmarkEnd w:id="9"/>
    </w:p>
    <w:p w14:paraId="21B2ADAD" w14:textId="77777777" w:rsidR="008417C5" w:rsidRDefault="008417C5">
      <w:pPr>
        <w:shd w:val="solid" w:color="FFFFFF" w:fill="auto"/>
        <w:spacing w:after="120"/>
      </w:pPr>
      <w:r>
        <w:t xml:space="preserve">Thus, according to the above regulations and guidelines, </w:t>
      </w:r>
      <w:r>
        <w:rPr>
          <w:b/>
          <w:bCs/>
          <w:i/>
          <w:iCs/>
        </w:rPr>
        <w:t>only 08 cases are allowed to apply regulations beneficial to offenders from 09-12-2015</w:t>
      </w:r>
      <w:r>
        <w:t xml:space="preserve">; other regulations beneficial to offenders according to Clause 3, Article 7 of the 2015 Criminal Code, Point b, Clause 1, Article 1 of Resolution No. 109/2015/QH13 and are stated in the List attached to the Public Document No. 276/TANDTC-PC dated 13-9-2016 of the Supreme People's Court applied from 01-7-2016. </w:t>
      </w:r>
      <w:r>
        <w:lastRenderedPageBreak/>
        <w:t>However, it should be noted that the application to each specific case must ensure that the new provisions of the 2015 Criminal Code are beneficial to offenders.</w:t>
      </w:r>
      <w:bookmarkStart w:id="10" w:name="dc_6"/>
      <w:bookmarkStart w:id="11" w:name="dc_7"/>
      <w:bookmarkEnd w:id="10"/>
      <w:bookmarkEnd w:id="11"/>
    </w:p>
    <w:p w14:paraId="5EBD8636" w14:textId="77777777" w:rsidR="008417C5" w:rsidRDefault="008417C5">
      <w:pPr>
        <w:spacing w:after="280" w:afterAutospacing="1"/>
      </w:pPr>
      <w:r>
        <w:rPr>
          <w:b/>
          <w:bCs/>
        </w:rPr>
        <w:t>4.</w:t>
      </w:r>
      <w:r>
        <w:t xml:space="preserve">  For </w:t>
      </w:r>
      <w:r>
        <w:rPr>
          <w:color w:val="000000"/>
        </w:rPr>
        <w:t xml:space="preserve">acts of defamation specified in Article 83, acts of illegal marriage registration specified in Article 149, acts of illegal business specified in Article 159, acts of deliberately violating the State's regulations on economic management, causing serious consequences specified in Article 165 of the 1999 Penal Code,  according to the provisions of Point e, Clause 1, Article 1 of Resolution No. 109, if these acts occur before 00:00 on July 1, 2016 and after that time the case is in the process of investigation, prosecution or trial, the provisions of the 1999 Penal Code shall continue to be applied for handling; if they are detected after 0:00 on July 1, 2016 (the effective date of the 2015 Penal Code), they shall not institute, investigate, prosecute or try the crime of defamation specified in Article 83 or the crime of illegal marriage registration specified in Article 149.  the crime of illegal business specified in Article 159, the crime of deliberately violating the State's regulations on economic management, causing serious consequences specified in Article 165 of the 1999 Penal Code and applying the provisions of the </w:t>
      </w:r>
      <w:bookmarkStart w:id="12" w:name="dc_8"/>
      <w:bookmarkStart w:id="13" w:name="dc_9"/>
      <w:bookmarkStart w:id="14" w:name="dc_10"/>
      <w:bookmarkStart w:id="15" w:name="dc_11"/>
      <w:bookmarkStart w:id="16" w:name="dc_12"/>
      <w:bookmarkStart w:id="17" w:name="dc_13"/>
      <w:bookmarkStart w:id="18" w:name="dc_14"/>
      <w:bookmarkStart w:id="19" w:name="dc_15"/>
      <w:bookmarkStart w:id="20" w:name="dc_16"/>
      <w:bookmarkEnd w:id="12"/>
      <w:bookmarkEnd w:id="13"/>
      <w:bookmarkEnd w:id="14"/>
      <w:bookmarkEnd w:id="15"/>
      <w:bookmarkEnd w:id="16"/>
      <w:bookmarkEnd w:id="17"/>
      <w:bookmarkEnd w:id="18"/>
      <w:bookmarkEnd w:id="19"/>
      <w:bookmarkEnd w:id="20"/>
      <w:r>
        <w:rPr>
          <w:color w:val="000000"/>
          <w:shd w:val="solid" w:color="FFFFFF" w:fill="auto"/>
        </w:rPr>
        <w:t xml:space="preserve">2015  Penal Code </w:t>
      </w:r>
      <w:r>
        <w:rPr>
          <w:color w:val="000000"/>
        </w:rPr>
        <w:t>for prosecution,  investigation, prosecution and trial according to the corresponding crimes. However, at Point c, Clause 4, Article 1 of Resolution No. 144</w:t>
      </w:r>
      <w:bookmarkStart w:id="21" w:name="dc_19"/>
      <w:bookmarkEnd w:id="21"/>
      <w:r>
        <w:t xml:space="preserve">, it is stipulated: </w:t>
      </w:r>
      <w:r>
        <w:rPr>
          <w:i/>
          <w:iCs/>
        </w:rPr>
        <w:t xml:space="preserve">"Other provisions in Resolution No. 109/2015/QH13 on the implementation of the Criminal Code... it is stated that the time "July 1, 2016" is postponed to the time "the date the Law amending and supplementing a number of articles of the Criminal Code No. 100/2015/QH13 takes effect". </w:t>
      </w:r>
      <w:r>
        <w:t xml:space="preserve">Therefore, for acts of </w:t>
      </w:r>
      <w:r>
        <w:rPr>
          <w:color w:val="000000"/>
        </w:rPr>
        <w:t xml:space="preserve">defamation, illegal marriage registration, illegal business, deliberately violating the State's regulations on economic management, causing serious consequences, the provisions of the 1999 Penal Code shall continue to be applied to handle </w:t>
      </w:r>
      <w:r>
        <w:t xml:space="preserve"> until the date the Law is amended.  supplementing a number of articles of the 2015 Penal Code</w:t>
      </w:r>
      <w:r>
        <w:rPr>
          <w:color w:val="000000"/>
        </w:rPr>
        <w:t xml:space="preserve"> to take effect.</w:t>
      </w:r>
    </w:p>
    <w:p w14:paraId="27D2A095" w14:textId="77777777" w:rsidR="008417C5" w:rsidRDefault="008417C5">
      <w:pPr>
        <w:spacing w:after="120"/>
      </w:pPr>
      <w:r>
        <w:t>In the course of implementation, if there are any problems, comrades are requested to report to the Supreme People's Court (through the Department of Legal Affairs and Scientific Management) for timely guidance and supplementation./.</w:t>
      </w:r>
    </w:p>
    <w:p w14:paraId="56673B3C" w14:textId="77777777" w:rsidR="008417C5" w:rsidRDefault="008417C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23994" w14:paraId="3CF76BEB" w14:textId="77777777">
        <w:tc>
          <w:tcPr>
            <w:tcW w:w="4738" w:type="dxa"/>
            <w:tcBorders>
              <w:top w:val="nil"/>
              <w:left w:val="nil"/>
              <w:bottom w:val="nil"/>
              <w:right w:val="nil"/>
              <w:tl2br w:val="nil"/>
              <w:tr2bl w:val="nil"/>
            </w:tcBorders>
            <w:tcMar>
              <w:top w:w="0" w:type="dxa"/>
              <w:left w:w="108" w:type="dxa"/>
              <w:bottom w:w="0" w:type="dxa"/>
              <w:right w:w="108" w:type="dxa"/>
            </w:tcMar>
          </w:tcPr>
          <w:p w14:paraId="51585519" w14:textId="77777777" w:rsidR="008417C5" w:rsidRDefault="008417C5">
            <w:pPr>
              <w:spacing w:after="120"/>
            </w:pPr>
            <w:r>
              <w:rPr>
                <w:sz w:val="16"/>
              </w:rPr>
              <w:t> </w:t>
            </w:r>
          </w:p>
          <w:p w14:paraId="44C573ED" w14:textId="77777777" w:rsidR="008417C5" w:rsidRDefault="008417C5">
            <w:r>
              <w:rPr>
                <w:b/>
                <w:bCs/>
                <w:i/>
                <w:iCs/>
              </w:rPr>
              <w:t>Recipient:</w:t>
            </w:r>
            <w:r>
              <w:rPr>
                <w:b/>
                <w:bCs/>
                <w:i/>
                <w:iCs/>
              </w:rPr>
              <w:br/>
            </w:r>
            <w:r>
              <w:rPr>
                <w:sz w:val="16"/>
              </w:rPr>
              <w:t>- Dear Chairman (for implementation);- Chief Justice of the SPC (for reporting);- Members of the SPC (for coordination and direction);- Judges of the SPC (to know);- Save: VT (for reporting; Department of PC&amp; Management).</w:t>
            </w:r>
          </w:p>
        </w:tc>
        <w:tc>
          <w:tcPr>
            <w:tcW w:w="4739" w:type="dxa"/>
            <w:tcBorders>
              <w:top w:val="nil"/>
              <w:left w:val="nil"/>
              <w:bottom w:val="nil"/>
              <w:right w:val="nil"/>
              <w:tl2br w:val="nil"/>
              <w:tr2bl w:val="nil"/>
            </w:tcBorders>
            <w:tcMar>
              <w:top w:w="0" w:type="dxa"/>
              <w:left w:w="108" w:type="dxa"/>
              <w:bottom w:w="0" w:type="dxa"/>
              <w:right w:w="108" w:type="dxa"/>
            </w:tcMar>
          </w:tcPr>
          <w:p w14:paraId="65FD2EC0" w14:textId="77777777" w:rsidR="008417C5" w:rsidRDefault="008417C5">
            <w:pPr>
              <w:jc w:val="center"/>
            </w:pPr>
            <w:r>
              <w:rPr>
                <w:b/>
                <w:bCs/>
              </w:rPr>
              <w:t>KT. CHIEF JUSTICE</w:t>
            </w:r>
            <w:r>
              <w:rPr>
                <w:b/>
                <w:bCs/>
              </w:rPr>
              <w:br/>
              <w:t>DEPUTY CHIEF JUSTICE</w:t>
            </w:r>
            <w:r>
              <w:rPr>
                <w:b/>
                <w:bCs/>
              </w:rPr>
              <w:br/>
            </w:r>
            <w:r>
              <w:rPr>
                <w:b/>
                <w:bCs/>
              </w:rPr>
              <w:br/>
            </w:r>
            <w:r>
              <w:rPr>
                <w:b/>
                <w:bCs/>
              </w:rPr>
              <w:br/>
            </w:r>
            <w:r>
              <w:rPr>
                <w:b/>
                <w:bCs/>
              </w:rPr>
              <w:br/>
            </w:r>
            <w:r>
              <w:rPr>
                <w:b/>
                <w:bCs/>
              </w:rPr>
              <w:br/>
              <w:t>NGUYEN SON</w:t>
            </w:r>
          </w:p>
        </w:tc>
      </w:tr>
    </w:tbl>
    <w:p w14:paraId="7AF3ECFC" w14:textId="77777777" w:rsidR="008417C5" w:rsidRDefault="008417C5">
      <w:pPr>
        <w:spacing w:after="280" w:afterAutospacing="1"/>
      </w:pPr>
      <w:r>
        <w:rPr>
          <w:b/>
          <w:bCs/>
        </w:rPr>
        <w:t> </w:t>
      </w:r>
    </w:p>
    <w:p w14:paraId="7AD77ED9" w14:textId="77777777" w:rsidR="008417C5" w:rsidRDefault="008417C5">
      <w:pPr>
        <w:spacing w:after="280" w:afterAutospacing="1"/>
      </w:pPr>
    </w:p>
    <w:p w14:paraId="382A3C0D" w14:textId="77777777" w:rsidR="008417C5" w:rsidRDefault="00256652">
      <w:r>
        <w:pict w14:anchorId="5F90B271">
          <v:rect id="_x0000_i1025" style="width:142.55pt;height:.75pt" o:hrpct="330" o:hrstd="t" o:hr="t" fillcolor="gray" stroked="f"/>
        </w:pict>
      </w:r>
    </w:p>
    <w:p w14:paraId="474E83E2" w14:textId="77777777" w:rsidR="008417C5" w:rsidRDefault="008417C5">
      <w:pPr>
        <w:spacing w:after="120"/>
      </w:pPr>
      <w:hyperlink w:anchor="_ftnref1" w:history="1">
        <w:r>
          <w:rPr>
            <w:color w:val="0000FF"/>
            <w:u w:val="single"/>
          </w:rPr>
          <w:t>[1]</w:t>
        </w:r>
      </w:hyperlink>
      <w:r>
        <w:t xml:space="preserve"> "</w:t>
      </w:r>
      <w:r>
        <w:rPr>
          <w:color w:val="000000"/>
        </w:rPr>
        <w:t xml:space="preserve">1. </w:t>
      </w:r>
      <w:bookmarkStart w:id="22" w:name="dieu_2"/>
      <w:r>
        <w:rPr>
          <w:color w:val="000000"/>
          <w:shd w:val="solid" w:color="FFFFFF" w:fill="auto"/>
        </w:rPr>
        <w:t>From the date the 2015 Penal Code is promulgated:</w:t>
      </w:r>
      <w:bookmarkEnd w:id="22"/>
    </w:p>
    <w:p w14:paraId="2A2641AE" w14:textId="77777777" w:rsidR="008417C5" w:rsidRDefault="008417C5">
      <w:pPr>
        <w:spacing w:after="120"/>
      </w:pPr>
      <w:r>
        <w:rPr>
          <w:color w:val="000000"/>
        </w:rPr>
        <w:t xml:space="preserve">a) The death penalty shall not be applied when adjudicating offenders for which </w:t>
      </w:r>
      <w:r>
        <w:rPr>
          <w:color w:val="000000"/>
          <w:shd w:val="solid" w:color="FFFFFF" w:fill="auto"/>
        </w:rPr>
        <w:t xml:space="preserve"> the 2015  Penal Code </w:t>
      </w:r>
      <w:r>
        <w:rPr>
          <w:color w:val="000000"/>
        </w:rPr>
        <w:t>has abolished the death penalty, for persons who are full 75 years of age or older at the time of committing the crime or at the time of trial;</w:t>
      </w:r>
    </w:p>
    <w:p w14:paraId="18B27C1E" w14:textId="77777777" w:rsidR="008417C5" w:rsidRDefault="008417C5">
      <w:pPr>
        <w:shd w:val="solid" w:color="FFFFFF" w:fill="auto"/>
        <w:spacing w:after="120"/>
      </w:pPr>
      <w:r>
        <w:rPr>
          <w:color w:val="000000"/>
        </w:rPr>
        <w:lastRenderedPageBreak/>
        <w:t>b) The death penalty already pronounced for the person mentioned at Point a of this Clause but has not yet executed the judgment shall not be enforced and the Chief Justice of the Supreme People's Court shall convert the death penalty to life imprisonment;</w:t>
      </w:r>
    </w:p>
    <w:p w14:paraId="12503E74" w14:textId="77777777" w:rsidR="008417C5" w:rsidRDefault="008417C5">
      <w:pPr>
        <w:shd w:val="solid" w:color="FFFFFF" w:fill="auto"/>
        <w:spacing w:after="120"/>
      </w:pPr>
      <w:r>
        <w:rPr>
          <w:color w:val="000000"/>
        </w:rPr>
        <w:t>c) For a person who has been sentenced to death but has not yet executed the judgment but fully meets the conditions specified at Point c, Clause 3, Article 40 of the 2015 Penal Code, the execution shall not be carried out and the Chief Justice of the Supreme People's Court shall convert the death penalty to life imprisonment;</w:t>
      </w:r>
      <w:bookmarkStart w:id="23" w:name="dc_20"/>
      <w:bookmarkEnd w:id="23"/>
    </w:p>
    <w:p w14:paraId="2B789A6B" w14:textId="77777777" w:rsidR="008417C5" w:rsidRPr="004D57AC" w:rsidRDefault="008417C5">
      <w:pPr>
        <w:spacing w:after="120"/>
        <w:rPr>
          <w:lang w:val="vi-VN"/>
        </w:rPr>
      </w:pPr>
      <w:r>
        <w:rPr>
          <w:color w:val="000000"/>
        </w:rPr>
        <w:t xml:space="preserve">d) Failing to criminally handle persons who commit acts that are defined as crimes by the 1999 Penal Code but not defined as crimes by the </w:t>
      </w:r>
      <w:r>
        <w:rPr>
          <w:color w:val="000000"/>
          <w:shd w:val="solid" w:color="FFFFFF" w:fill="auto"/>
        </w:rPr>
        <w:t xml:space="preserve"> 2015 Penal Code </w:t>
      </w:r>
      <w:r>
        <w:rPr>
          <w:color w:val="000000"/>
        </w:rPr>
        <w:t xml:space="preserve"> , including: child marriage; false reporting in economic management; violations of regulations on grant of industrial property rights protection titles; illegal use of additional reserve funds charter capital of the credit institution; failing to comply with administrative decisions of competent state agencies on sending to educational institutions, medical treatment establishments or administrative probation. </w:t>
      </w:r>
      <w:r>
        <w:rPr>
          <w:color w:val="000000"/>
          <w:shd w:val="solid" w:color="FFFFFF" w:fill="auto"/>
        </w:rPr>
        <w:t>If the case has been instituted, investigated, prosecuted or adjudicated, it must be suspended; in case the convict is serving a penalty or is being suspended from judgment execution, he or she shall be exempted from serving the remaining penalty; in case the convict has not yet served the penalty or is having the judgment execution postponed,  shall be exempted from serving the entire penalty;</w:t>
      </w:r>
    </w:p>
    <w:p w14:paraId="4CC8D024" w14:textId="77777777" w:rsidR="008417C5" w:rsidRPr="004D57AC" w:rsidRDefault="008417C5">
      <w:pPr>
        <w:shd w:val="solid" w:color="FFFFFF" w:fill="auto"/>
        <w:spacing w:after="120"/>
        <w:rPr>
          <w:lang w:val="vi-VN"/>
        </w:rPr>
      </w:pPr>
      <w:r>
        <w:rPr>
          <w:color w:val="000000"/>
        </w:rPr>
        <w:t>dd) Failing to criminally handle persons aged between full 14 and under 16 years for crimes not specified in Clause 2, Article 12 and Points b and c, Clause 2, Article 14 of the</w:t>
      </w:r>
      <w:bookmarkStart w:id="24" w:name="dc_21"/>
      <w:r>
        <w:rPr>
          <w:color w:val="000000"/>
          <w:shd w:val="solid" w:color="FFFFFF" w:fill="auto"/>
        </w:rPr>
        <w:t xml:space="preserve"> 2015 Penal Code</w:t>
      </w:r>
      <w:bookmarkEnd w:id="24"/>
      <w:r>
        <w:rPr>
          <w:color w:val="000000"/>
        </w:rPr>
        <w:t>; if the case has been instituted or is under investigation,  prosecution and trial must be suspended; in cases where such persons have been convicted and are serving their penalties or are being suspended from judgment enforcement, they shall be exempt from serving the remaining penalties; if the convicts have not yet served their penalties or are having their judgment execution postponed, they shall be exempted from serving the entire penalty;</w:t>
      </w:r>
    </w:p>
    <w:p w14:paraId="4EE5C3AD" w14:textId="5B6CF5F3" w:rsidR="008417C5" w:rsidRPr="004D57AC" w:rsidRDefault="008417C5">
      <w:pPr>
        <w:shd w:val="solid" w:color="FFFFFF" w:fill="auto"/>
        <w:spacing w:after="120"/>
        <w:rPr>
          <w:lang w:val="vi-VN"/>
        </w:rPr>
      </w:pPr>
      <w:r>
        <w:rPr>
          <w:color w:val="000000"/>
        </w:rPr>
        <w:t>e) Persons who have completely served their penalties or are exempt from serving the entire penalty or the remaining part of the penalty as prescribed at Points d and dd of this Clause shall automatically have their criminal records expunged."</w:t>
      </w:r>
    </w:p>
    <w:sectPr w:rsidR="008417C5" w:rsidRPr="004D57AC">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ABE5" w14:textId="77777777" w:rsidR="004D57AC" w:rsidRDefault="004D57AC" w:rsidP="004D57AC">
      <w:r>
        <w:separator/>
      </w:r>
    </w:p>
  </w:endnote>
  <w:endnote w:type="continuationSeparator" w:id="0">
    <w:p w14:paraId="4E417C6E" w14:textId="77777777" w:rsidR="004D57AC" w:rsidRDefault="004D57AC" w:rsidP="004D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86D9" w14:textId="77777777" w:rsidR="004D57AC" w:rsidRPr="001E142E" w:rsidRDefault="004D57AC" w:rsidP="004D57AC">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36E8275F" w14:textId="0C6D98C0" w:rsidR="004D57AC" w:rsidRPr="004D57AC" w:rsidRDefault="004D57AC" w:rsidP="004D57AC">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0FAF" w14:textId="77777777" w:rsidR="004D57AC" w:rsidRDefault="004D57AC" w:rsidP="004D57AC">
      <w:r>
        <w:separator/>
      </w:r>
    </w:p>
  </w:footnote>
  <w:footnote w:type="continuationSeparator" w:id="0">
    <w:p w14:paraId="22A2DEF0" w14:textId="77777777" w:rsidR="004D57AC" w:rsidRDefault="004D57AC" w:rsidP="004D5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44"/>
    <w:rsid w:val="00123994"/>
    <w:rsid w:val="00256652"/>
    <w:rsid w:val="003423A6"/>
    <w:rsid w:val="004D57AC"/>
    <w:rsid w:val="008417C5"/>
    <w:rsid w:val="00903144"/>
    <w:rsid w:val="009B4C83"/>
    <w:rsid w:val="00DD19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DFE49A"/>
  <w15:chartTrackingRefBased/>
  <w15:docId w15:val="{13749A4E-60D9-40B7-ADAE-4DA2426C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7AC"/>
    <w:pPr>
      <w:tabs>
        <w:tab w:val="center" w:pos="4680"/>
        <w:tab w:val="right" w:pos="9360"/>
      </w:tabs>
    </w:pPr>
  </w:style>
  <w:style w:type="character" w:customStyle="1" w:styleId="HeaderChar">
    <w:name w:val="Header Char"/>
    <w:basedOn w:val="DefaultParagraphFont"/>
    <w:link w:val="Header"/>
    <w:uiPriority w:val="99"/>
    <w:rsid w:val="004D57AC"/>
    <w:rPr>
      <w:sz w:val="24"/>
      <w:szCs w:val="24"/>
    </w:rPr>
  </w:style>
  <w:style w:type="paragraph" w:styleId="Footer">
    <w:name w:val="footer"/>
    <w:basedOn w:val="Normal"/>
    <w:link w:val="FooterChar"/>
    <w:uiPriority w:val="99"/>
    <w:unhideWhenUsed/>
    <w:rsid w:val="004D57AC"/>
    <w:pPr>
      <w:tabs>
        <w:tab w:val="center" w:pos="4680"/>
        <w:tab w:val="right" w:pos="9360"/>
      </w:tabs>
    </w:pPr>
  </w:style>
  <w:style w:type="character" w:customStyle="1" w:styleId="FooterChar">
    <w:name w:val="Footer Char"/>
    <w:basedOn w:val="DefaultParagraphFont"/>
    <w:link w:val="Footer"/>
    <w:uiPriority w:val="99"/>
    <w:rsid w:val="004D57AC"/>
    <w:rPr>
      <w:sz w:val="24"/>
      <w:szCs w:val="24"/>
    </w:rPr>
  </w:style>
  <w:style w:type="character" w:styleId="PlaceholderText">
    <w:name w:val="Placeholder Text"/>
    <w:basedOn w:val="DefaultParagraphFont"/>
    <w:uiPriority w:val="99"/>
    <w:unhideWhenUsed/>
    <w:rsid w:val="009B4C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1379</Words>
  <Characters>7297</Characters>
  <Application>Microsoft Office Word</Application>
  <DocSecurity>0</DocSecurity>
  <Lines>60</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2025-10-28T01:51:00Z</dcterms:created>
  <dcterms:modified xsi:type="dcterms:W3CDTF">2025-10-28T01:52:00Z</dcterms:modified>
</cp:coreProperties>
</file>