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3"/>
        <w:gridCol w:w="5673"/>
      </w:tblGrid>
      <w:tr w:rsidR="00077BC4" w14:paraId="43645502" w14:textId="77777777">
        <w:tc>
          <w:tcPr>
            <w:tcW w:w="3183" w:type="dxa"/>
            <w:tcBorders>
              <w:top w:val="nil"/>
              <w:left w:val="nil"/>
              <w:bottom w:val="nil"/>
              <w:right w:val="nil"/>
              <w:tl2br w:val="nil"/>
              <w:tr2bl w:val="nil"/>
            </w:tcBorders>
            <w:tcMar>
              <w:top w:w="0" w:type="dxa"/>
              <w:left w:w="108" w:type="dxa"/>
              <w:bottom w:w="0" w:type="dxa"/>
              <w:right w:w="108" w:type="dxa"/>
            </w:tcMar>
          </w:tcPr>
          <w:p w14:paraId="5012BD78" w14:textId="325C0A6E" w:rsidR="00405ABA" w:rsidRDefault="00405ABA">
            <w:pPr>
              <w:spacing w:before="120"/>
              <w:jc w:val="center"/>
            </w:pPr>
            <w:r>
              <w:rPr>
                <w:b/>
                <w:bCs/>
              </w:rPr>
              <w:t>COUNCIL OF JUDGES OF THE SUPREME PEOPLE'S COURT-------</w:t>
            </w:r>
          </w:p>
        </w:tc>
        <w:tc>
          <w:tcPr>
            <w:tcW w:w="5673" w:type="dxa"/>
            <w:tcBorders>
              <w:top w:val="nil"/>
              <w:left w:val="nil"/>
              <w:bottom w:val="nil"/>
              <w:right w:val="nil"/>
              <w:tl2br w:val="nil"/>
              <w:tr2bl w:val="nil"/>
            </w:tcBorders>
            <w:tcMar>
              <w:top w:w="0" w:type="dxa"/>
              <w:left w:w="108" w:type="dxa"/>
              <w:bottom w:w="0" w:type="dxa"/>
              <w:right w:w="108" w:type="dxa"/>
            </w:tcMar>
          </w:tcPr>
          <w:p w14:paraId="4E92E4B1" w14:textId="77777777" w:rsidR="00AA2D36" w:rsidRDefault="00405ABA">
            <w:pPr>
              <w:spacing w:before="120"/>
              <w:jc w:val="center"/>
              <w:rPr>
                <w:b/>
                <w:bCs/>
                <w:lang w:val="vi-VN"/>
              </w:rPr>
            </w:pPr>
            <w:r>
              <w:rPr>
                <w:b/>
                <w:bCs/>
              </w:rPr>
              <w:t>SOCIALIST REPUBLIC OF VIETNAM</w:t>
            </w:r>
          </w:p>
          <w:p w14:paraId="123D4440" w14:textId="0C40E397" w:rsidR="00AA2D36" w:rsidRDefault="00405ABA">
            <w:pPr>
              <w:spacing w:before="120"/>
              <w:jc w:val="center"/>
              <w:rPr>
                <w:b/>
                <w:bCs/>
                <w:lang w:val="vi-VN"/>
              </w:rPr>
            </w:pPr>
            <w:r>
              <w:rPr>
                <w:b/>
                <w:bCs/>
              </w:rPr>
              <w:t xml:space="preserve">Independence - Freedom </w:t>
            </w:r>
            <w:r w:rsidR="00AA2D36">
              <w:rPr>
                <w:b/>
                <w:bCs/>
              </w:rPr>
              <w:t>–</w:t>
            </w:r>
            <w:r>
              <w:rPr>
                <w:b/>
                <w:bCs/>
              </w:rPr>
              <w:t xml:space="preserve"> Happiness</w:t>
            </w:r>
          </w:p>
          <w:p w14:paraId="79FB93DC" w14:textId="745C412D" w:rsidR="00405ABA" w:rsidRDefault="00405ABA">
            <w:pPr>
              <w:spacing w:before="120"/>
              <w:jc w:val="center"/>
            </w:pPr>
            <w:r>
              <w:rPr>
                <w:b/>
                <w:bCs/>
              </w:rPr>
              <w:t>----------------</w:t>
            </w:r>
          </w:p>
        </w:tc>
      </w:tr>
      <w:tr w:rsidR="00077BC4" w14:paraId="3B95CC01" w14:textId="77777777">
        <w:tblPrEx>
          <w:tblBorders>
            <w:top w:val="none" w:sz="0" w:space="0" w:color="auto"/>
            <w:bottom w:val="none" w:sz="0" w:space="0" w:color="auto"/>
            <w:insideH w:val="none" w:sz="0" w:space="0" w:color="auto"/>
            <w:insideV w:val="none" w:sz="0" w:space="0" w:color="auto"/>
          </w:tblBorders>
        </w:tblPrEx>
        <w:tc>
          <w:tcPr>
            <w:tcW w:w="3183" w:type="dxa"/>
            <w:tcBorders>
              <w:top w:val="nil"/>
              <w:left w:val="nil"/>
              <w:bottom w:val="nil"/>
              <w:right w:val="nil"/>
              <w:tl2br w:val="nil"/>
              <w:tr2bl w:val="nil"/>
            </w:tcBorders>
            <w:tcMar>
              <w:top w:w="0" w:type="dxa"/>
              <w:left w:w="108" w:type="dxa"/>
              <w:bottom w:w="0" w:type="dxa"/>
              <w:right w:w="108" w:type="dxa"/>
            </w:tcMar>
          </w:tcPr>
          <w:p w14:paraId="7B1E11C1" w14:textId="77777777" w:rsidR="00405ABA" w:rsidRDefault="00405ABA">
            <w:pPr>
              <w:spacing w:before="120"/>
              <w:jc w:val="center"/>
            </w:pPr>
            <w:r>
              <w:t>No. 07/2019/NQ-HDTP</w:t>
            </w:r>
          </w:p>
        </w:tc>
        <w:tc>
          <w:tcPr>
            <w:tcW w:w="5673" w:type="dxa"/>
            <w:tcBorders>
              <w:top w:val="nil"/>
              <w:left w:val="nil"/>
              <w:bottom w:val="nil"/>
              <w:right w:val="nil"/>
              <w:tl2br w:val="nil"/>
              <w:tr2bl w:val="nil"/>
            </w:tcBorders>
            <w:tcMar>
              <w:top w:w="0" w:type="dxa"/>
              <w:left w:w="108" w:type="dxa"/>
              <w:bottom w:w="0" w:type="dxa"/>
              <w:right w:w="108" w:type="dxa"/>
            </w:tcMar>
          </w:tcPr>
          <w:p w14:paraId="4B9C05C2" w14:textId="77777777" w:rsidR="00405ABA" w:rsidRDefault="00405ABA">
            <w:pPr>
              <w:spacing w:before="120"/>
              <w:jc w:val="right"/>
            </w:pPr>
            <w:r>
              <w:rPr>
                <w:i/>
                <w:iCs/>
              </w:rPr>
              <w:t>Hanoi, October 25, 2019</w:t>
            </w:r>
          </w:p>
        </w:tc>
      </w:tr>
    </w:tbl>
    <w:p w14:paraId="7CC004BF" w14:textId="77777777" w:rsidR="00405ABA" w:rsidRDefault="00405ABA">
      <w:pPr>
        <w:spacing w:before="120" w:after="280" w:afterAutospacing="1"/>
      </w:pPr>
      <w:r>
        <w:rPr>
          <w:i/>
          <w:iCs/>
        </w:rPr>
        <w:t> </w:t>
      </w:r>
    </w:p>
    <w:p w14:paraId="6D83110A" w14:textId="77777777" w:rsidR="00405ABA" w:rsidRDefault="00405ABA">
      <w:pPr>
        <w:spacing w:before="120" w:after="280" w:afterAutospacing="1"/>
        <w:jc w:val="center"/>
      </w:pPr>
      <w:bookmarkStart w:id="0" w:name="loai_1"/>
      <w:r>
        <w:rPr>
          <w:b/>
          <w:bCs/>
        </w:rPr>
        <w:t>RESOLUTION</w:t>
      </w:r>
      <w:bookmarkEnd w:id="0"/>
    </w:p>
    <w:p w14:paraId="58319E00" w14:textId="77777777" w:rsidR="00405ABA" w:rsidRDefault="00405ABA">
      <w:pPr>
        <w:spacing w:before="120" w:after="280" w:afterAutospacing="1"/>
        <w:jc w:val="center"/>
      </w:pPr>
      <w:bookmarkStart w:id="1" w:name="loai_1_name"/>
      <w:r>
        <w:t>GUIDING THE APPLICATION OF A NUMBER OF PROVISIONS IN ARTICLES 299 AND 300 OF THE PENAL CODE</w:t>
      </w:r>
      <w:bookmarkEnd w:id="1"/>
    </w:p>
    <w:p w14:paraId="02873919" w14:textId="77777777" w:rsidR="00405ABA" w:rsidRDefault="00405ABA">
      <w:pPr>
        <w:spacing w:before="120" w:after="280" w:afterAutospacing="1"/>
        <w:jc w:val="center"/>
      </w:pPr>
      <w:r>
        <w:rPr>
          <w:b/>
          <w:bCs/>
        </w:rPr>
        <w:t>COUNCIL OF JUDGES OF THE SUPREME PEOPLE'S COURT</w:t>
      </w:r>
    </w:p>
    <w:p w14:paraId="18A6386B" w14:textId="77777777" w:rsidR="00405ABA" w:rsidRDefault="00405ABA">
      <w:pPr>
        <w:spacing w:before="120" w:after="280" w:afterAutospacing="1"/>
      </w:pPr>
      <w:r>
        <w:rPr>
          <w:i/>
          <w:iCs/>
        </w:rPr>
        <w:t>Pursuant to the Law on Organization of People's Courts dated November 24, 2014;</w:t>
      </w:r>
      <w:bookmarkStart w:id="2" w:name="tvpllink_vtybnwesil"/>
      <w:bookmarkEnd w:id="2"/>
    </w:p>
    <w:p w14:paraId="3BCF2D87" w14:textId="77777777" w:rsidR="00405ABA" w:rsidRDefault="00405ABA">
      <w:pPr>
        <w:spacing w:before="120" w:after="280" w:afterAutospacing="1"/>
      </w:pPr>
      <w:r>
        <w:rPr>
          <w:i/>
          <w:iCs/>
        </w:rPr>
        <w:t>In order to properly and uniformly apply the provisions of Articles 299 and 300 of the Penal Code;</w:t>
      </w:r>
      <w:bookmarkStart w:id="3" w:name="dc_19"/>
      <w:bookmarkEnd w:id="3"/>
    </w:p>
    <w:p w14:paraId="1612578E" w14:textId="77777777" w:rsidR="00405ABA" w:rsidRDefault="00405ABA">
      <w:pPr>
        <w:spacing w:before="120" w:after="280" w:afterAutospacing="1"/>
      </w:pPr>
      <w:r>
        <w:rPr>
          <w:i/>
          <w:iCs/>
        </w:rPr>
        <w:t>After obtaining the opinions of the Procurator General of the Supreme People's Procuracy and the Minister of Justice,</w:t>
      </w:r>
    </w:p>
    <w:p w14:paraId="58B5AF50" w14:textId="77777777" w:rsidR="00405ABA" w:rsidRDefault="00405ABA">
      <w:pPr>
        <w:spacing w:before="120" w:after="280" w:afterAutospacing="1"/>
        <w:jc w:val="center"/>
      </w:pPr>
      <w:r>
        <w:rPr>
          <w:b/>
          <w:bCs/>
        </w:rPr>
        <w:t>RESOLVED:</w:t>
      </w:r>
    </w:p>
    <w:p w14:paraId="4D1369E7" w14:textId="77777777" w:rsidR="00405ABA" w:rsidRDefault="00405ABA">
      <w:pPr>
        <w:spacing w:before="120" w:after="280" w:afterAutospacing="1"/>
      </w:pPr>
      <w:bookmarkStart w:id="4" w:name="dieu_1"/>
      <w:r>
        <w:rPr>
          <w:b/>
          <w:bCs/>
        </w:rPr>
        <w:t>Article 1. Scope of Regulation</w:t>
      </w:r>
      <w:bookmarkEnd w:id="4"/>
    </w:p>
    <w:p w14:paraId="7CD29496" w14:textId="77777777" w:rsidR="00405ABA" w:rsidRDefault="00405ABA">
      <w:pPr>
        <w:spacing w:before="120" w:after="280" w:afterAutospacing="1"/>
      </w:pPr>
      <w:r>
        <w:t>This Resolution guides the application of a number of provisions in Article 299 on terrorism crimes and Article 300 on terrorist financing of the Criminal Code.</w:t>
      </w:r>
      <w:bookmarkStart w:id="5" w:name="dc_1"/>
      <w:bookmarkEnd w:id="5"/>
    </w:p>
    <w:p w14:paraId="359B3E3F" w14:textId="77777777" w:rsidR="00405ABA" w:rsidRDefault="00405ABA">
      <w:pPr>
        <w:spacing w:before="120" w:after="280" w:afterAutospacing="1"/>
      </w:pPr>
      <w:bookmarkStart w:id="6" w:name="dieu_2"/>
      <w:r>
        <w:rPr>
          <w:b/>
          <w:bCs/>
        </w:rPr>
        <w:t>Article 2. Principles of application of law</w:t>
      </w:r>
      <w:bookmarkEnd w:id="6"/>
    </w:p>
    <w:p w14:paraId="1FAFC530" w14:textId="77777777" w:rsidR="00405ABA" w:rsidRDefault="00405ABA">
      <w:pPr>
        <w:spacing w:before="120" w:after="280" w:afterAutospacing="1"/>
      </w:pPr>
      <w:r>
        <w:t>The criminal handling of terrorism and terrorist financing must comply with the provisions of the Penal Code, the Criminal Procedure Code, the guidance of this Resolution and other relevant legal documents.</w:t>
      </w:r>
      <w:bookmarkStart w:id="7" w:name="tvpllink_rabuqzntjc"/>
      <w:bookmarkStart w:id="8" w:name="tvpllink_sqyypjucfe"/>
      <w:bookmarkEnd w:id="7"/>
      <w:bookmarkEnd w:id="8"/>
    </w:p>
    <w:p w14:paraId="352C9529" w14:textId="77777777" w:rsidR="00405ABA" w:rsidRDefault="00405ABA">
      <w:pPr>
        <w:spacing w:before="120" w:after="280" w:afterAutospacing="1"/>
      </w:pPr>
      <w:bookmarkStart w:id="9" w:name="dieu_3"/>
      <w:r>
        <w:rPr>
          <w:b/>
          <w:bCs/>
        </w:rPr>
        <w:t>Article 3. Regarding some terms used in the guidance on the application of Articles 299 and 300 of the Criminal Code</w:t>
      </w:r>
      <w:bookmarkStart w:id="10" w:name="dc_2"/>
      <w:bookmarkEnd w:id="9"/>
      <w:bookmarkEnd w:id="10"/>
    </w:p>
    <w:p w14:paraId="0A630DC1" w14:textId="77777777" w:rsidR="00405ABA" w:rsidRDefault="00405ABA">
      <w:pPr>
        <w:spacing w:before="120" w:after="280" w:afterAutospacing="1"/>
      </w:pPr>
      <w:bookmarkStart w:id="11" w:name="khoan_1_3"/>
      <w:r>
        <w:t xml:space="preserve">1. </w:t>
      </w:r>
      <w:r>
        <w:rPr>
          <w:i/>
          <w:iCs/>
        </w:rPr>
        <w:t>"Panic in the public"</w:t>
      </w:r>
      <w:r>
        <w:t xml:space="preserve"> specified in Clause 1, Article 299 of the Penal Code means the psychological state of anxiety, fear and confusion of people about the safety of their lives, health, property, other lawful rights and interests (for example, acts of causing explosions in the area of bus stations make people worried about the safety of their their lives, health and property when participating in traffic).</w:t>
      </w:r>
      <w:bookmarkStart w:id="12" w:name="dc_3"/>
      <w:bookmarkStart w:id="13" w:name="khoan_1_3_name"/>
      <w:bookmarkEnd w:id="11"/>
      <w:bookmarkEnd w:id="12"/>
      <w:bookmarkEnd w:id="13"/>
    </w:p>
    <w:p w14:paraId="15136003" w14:textId="77777777" w:rsidR="00405ABA" w:rsidRDefault="00405ABA">
      <w:pPr>
        <w:spacing w:before="120" w:after="280" w:afterAutospacing="1"/>
      </w:pPr>
      <w:r>
        <w:lastRenderedPageBreak/>
        <w:t>In order to cause panic among the public, terrorist acts specified in Article 299 of the Criminal Code may be committed in public places, places with large gatherings of people (e.g., squares, shopping malls, traffic crossings, at stations of vehicles, etc  on means of transport, at places of entertainment, tourism, schools, hospitals, residential areas, at buildings,...).</w:t>
      </w:r>
      <w:bookmarkStart w:id="14" w:name="dc_4"/>
      <w:bookmarkEnd w:id="14"/>
    </w:p>
    <w:p w14:paraId="2356FDBA" w14:textId="77777777" w:rsidR="00405ABA" w:rsidRDefault="00405ABA">
      <w:pPr>
        <w:spacing w:before="120" w:after="280" w:afterAutospacing="1"/>
      </w:pPr>
      <w:r>
        <w:t>Acts committed in isolated places, other than public places (e.g. at private homes or in office offices, etc.) but aimed at causing panic in the public shall also be prosecuted for criminal liability for the crime of terrorism under Article 299 of the Penal Code if other signs of this crime are satisfied.</w:t>
      </w:r>
      <w:bookmarkStart w:id="15" w:name="dc_5"/>
      <w:bookmarkEnd w:id="15"/>
    </w:p>
    <w:p w14:paraId="5B50899B" w14:textId="77777777" w:rsidR="00405ABA" w:rsidRDefault="00405ABA">
      <w:pPr>
        <w:spacing w:before="120" w:after="280" w:afterAutospacing="1"/>
      </w:pPr>
      <w:r>
        <w:t xml:space="preserve">2. </w:t>
      </w:r>
      <w:r>
        <w:rPr>
          <w:i/>
          <w:iCs/>
        </w:rPr>
        <w:t>"Destruction of property of agencies, organizations or individuals"</w:t>
      </w:r>
      <w:r>
        <w:t xml:space="preserve"> specified in Clause 1, Article 299 of the Penal Code is an act that causes the property to lose its use value and cannot be restored.</w:t>
      </w:r>
      <w:bookmarkStart w:id="16" w:name="dc_6"/>
      <w:bookmarkEnd w:id="16"/>
    </w:p>
    <w:p w14:paraId="3BBBF2A0" w14:textId="77777777" w:rsidR="00405ABA" w:rsidRDefault="00405ABA">
      <w:pPr>
        <w:spacing w:before="120" w:after="280" w:afterAutospacing="1"/>
      </w:pPr>
      <w:r>
        <w:t>3.</w:t>
      </w:r>
      <w:r>
        <w:rPr>
          <w:i/>
          <w:iCs/>
        </w:rPr>
        <w:t xml:space="preserve"> "Threatening to commit one of the acts specified in Clause 1 of this Article"</w:t>
      </w:r>
      <w:r>
        <w:t xml:space="preserve"> specified in Clause 3, Article 299 of the Penal Code may be committed verbally, sending messages, images or by other acts that make agencies, organizations and individuals aware of and fear for the safety of life.  their health, property, other legitimate rights and interests.</w:t>
      </w:r>
      <w:bookmarkStart w:id="17" w:name="dc_7"/>
      <w:bookmarkEnd w:id="17"/>
    </w:p>
    <w:p w14:paraId="3457AC82" w14:textId="77777777" w:rsidR="00405ABA" w:rsidRDefault="00405ABA">
      <w:pPr>
        <w:spacing w:before="120" w:after="280" w:afterAutospacing="1"/>
      </w:pPr>
      <w:r>
        <w:t xml:space="preserve">4. </w:t>
      </w:r>
      <w:r>
        <w:rPr>
          <w:i/>
          <w:iCs/>
        </w:rPr>
        <w:t>"Other acts of mental intimidation"</w:t>
      </w:r>
      <w:r>
        <w:t xml:space="preserve"> specified in Clause 3, Article 299 of the Penal Code are acts of enticing, inciting, encouraging, encouraging or creating conditions for threatening to infringe upon the life, health, bodily freedom, property, honor and dignity of persons who are threatened or threatened to infringe upon their lives.  health, bodily freedom, property, honor and dignity of the victim's relatives or other acts aimed at making the threatened person afraid or obstructing their ability to perceive and control their behavior normally.</w:t>
      </w:r>
      <w:bookmarkStart w:id="18" w:name="dc_8"/>
      <w:bookmarkEnd w:id="18"/>
    </w:p>
    <w:p w14:paraId="2281BC8A" w14:textId="77777777" w:rsidR="00405ABA" w:rsidRDefault="00405ABA">
      <w:pPr>
        <w:spacing w:before="120" w:after="280" w:afterAutospacing="1"/>
      </w:pPr>
      <w:bookmarkStart w:id="19" w:name="khoan_5_3"/>
      <w:r>
        <w:t>5</w:t>
      </w:r>
      <w:r>
        <w:rPr>
          <w:i/>
          <w:iCs/>
        </w:rPr>
        <w:t>. "Raising money and assets in any form for terrorist organizations and individuals"</w:t>
      </w:r>
      <w:r>
        <w:t xml:space="preserve"> specified in Clause 1, Article 300 of the Penal Code is the act of mobilizing or calling on individuals and organizations to provide, donate, lend money, lend assets or in other forms to organizations or organizations  terrorist individuals.</w:t>
      </w:r>
      <w:bookmarkStart w:id="20" w:name="dc_9"/>
      <w:bookmarkStart w:id="21" w:name="khoan_5_3_name"/>
      <w:bookmarkEnd w:id="19"/>
      <w:bookmarkEnd w:id="20"/>
      <w:bookmarkEnd w:id="21"/>
    </w:p>
    <w:p w14:paraId="662AAE48" w14:textId="77777777" w:rsidR="00405ABA" w:rsidRDefault="00405ABA">
      <w:pPr>
        <w:spacing w:before="120" w:after="280" w:afterAutospacing="1"/>
      </w:pPr>
      <w:r>
        <w:t xml:space="preserve">6. </w:t>
      </w:r>
      <w:r>
        <w:rPr>
          <w:i/>
          <w:iCs/>
        </w:rPr>
        <w:t>"Providing money and property support in any form to terrorist organizations and individuals"</w:t>
      </w:r>
      <w:r>
        <w:t xml:space="preserve"> specified in Clause 1, Article 300 of the Penal Code means acts of providing, donating, lending money, lending property or in other forms to terrorist organizations or individuals.</w:t>
      </w:r>
      <w:bookmarkStart w:id="22" w:name="dc_10"/>
      <w:bookmarkEnd w:id="22"/>
    </w:p>
    <w:p w14:paraId="0E6CEA2F" w14:textId="77777777" w:rsidR="00405ABA" w:rsidRDefault="00405ABA">
      <w:pPr>
        <w:spacing w:before="120" w:after="280" w:afterAutospacing="1"/>
      </w:pPr>
      <w:bookmarkStart w:id="23" w:name="dieu_4"/>
      <w:r>
        <w:rPr>
          <w:b/>
          <w:bCs/>
        </w:rPr>
        <w:t>Article 4. Regarding some circumstances framing the penalty</w:t>
      </w:r>
      <w:bookmarkEnd w:id="23"/>
    </w:p>
    <w:p w14:paraId="0360C161" w14:textId="77777777" w:rsidR="00405ABA" w:rsidRDefault="00405ABA">
      <w:pPr>
        <w:spacing w:before="120" w:after="280" w:afterAutospacing="1"/>
      </w:pPr>
      <w:r>
        <w:t>1.</w:t>
      </w:r>
      <w:r>
        <w:rPr>
          <w:i/>
          <w:iCs/>
        </w:rPr>
        <w:t xml:space="preserve"> "Occupying property of agencies, organizations or individuals"</w:t>
      </w:r>
      <w:r>
        <w:t xml:space="preserve"> specified at Point c, Clause 2, Article 299 of the Penal Code is an act of illegally appropriating, holding or dominating the right to manage, own, use and dispose of property of agencies, organizations or individuals.</w:t>
      </w:r>
      <w:bookmarkStart w:id="24" w:name="dc_11"/>
      <w:bookmarkEnd w:id="24"/>
    </w:p>
    <w:p w14:paraId="31E75179" w14:textId="77777777" w:rsidR="00405ABA" w:rsidRDefault="00405ABA">
      <w:pPr>
        <w:spacing w:before="120" w:after="280" w:afterAutospacing="1"/>
      </w:pPr>
      <w:r>
        <w:t xml:space="preserve">2. </w:t>
      </w:r>
      <w:r>
        <w:rPr>
          <w:i/>
          <w:iCs/>
        </w:rPr>
        <w:t xml:space="preserve">"Damaging property of agencies, organizations or individuals" </w:t>
      </w:r>
      <w:r>
        <w:t>specified at Point c, Clause 2, Article 299 of the Penal Code is an act of deliberately reducing the use value of property or damaging property which can be restored.</w:t>
      </w:r>
      <w:bookmarkStart w:id="25" w:name="dc_12"/>
      <w:bookmarkEnd w:id="25"/>
    </w:p>
    <w:p w14:paraId="122D6162" w14:textId="77777777" w:rsidR="00405ABA" w:rsidRDefault="00405ABA">
      <w:pPr>
        <w:spacing w:before="120" w:after="280" w:afterAutospacing="1"/>
      </w:pPr>
      <w:r>
        <w:lastRenderedPageBreak/>
        <w:t xml:space="preserve">3. </w:t>
      </w:r>
      <w:r>
        <w:rPr>
          <w:i/>
          <w:iCs/>
        </w:rPr>
        <w:t>Attacking or infringing upon computer networks, telecommunications networks or electronic means of agencies, organizations and individuals</w:t>
      </w:r>
      <w:r>
        <w:t xml:space="preserve"> specified at Point d, Clause 2, Article 299 of the Penal Code means acts of using cyberspace, information technology or electronic means to sabotage,  disrupting the normal, safe and secure operation of computer networks, telecommunications networks and electronic means, including one of the following acts:</w:t>
      </w:r>
      <w:bookmarkStart w:id="26" w:name="dc_13"/>
      <w:bookmarkEnd w:id="26"/>
    </w:p>
    <w:p w14:paraId="71FD9895" w14:textId="77777777" w:rsidR="00405ABA" w:rsidRDefault="00405ABA">
      <w:pPr>
        <w:spacing w:before="120" w:after="280" w:afterAutospacing="1"/>
      </w:pPr>
      <w:r>
        <w:t>a) Distributing information programs that cause harm to computer networks, telecommunications networks and electronic means;</w:t>
      </w:r>
    </w:p>
    <w:p w14:paraId="28D37DDF" w14:textId="77777777" w:rsidR="00405ABA" w:rsidRDefault="00405ABA">
      <w:pPr>
        <w:spacing w:before="120" w:after="280" w:afterAutospacing="1"/>
      </w:pPr>
      <w:r>
        <w:t>b) Paralyzing, interrupting or stalling the operation of computer networks, telecommunications networks and electronic means;</w:t>
      </w:r>
    </w:p>
    <w:p w14:paraId="5490A3A9" w14:textId="77777777" w:rsidR="00405ABA" w:rsidRDefault="00405ABA">
      <w:pPr>
        <w:spacing w:before="120" w:after="280" w:afterAutospacing="1"/>
      </w:pPr>
      <w:r>
        <w:t>c) Intruding, damaging or appropriating data stored or transmitted through computer networks, telecommunications networks or electronic means;</w:t>
      </w:r>
    </w:p>
    <w:p w14:paraId="4BE36774" w14:textId="77777777" w:rsidR="00405ABA" w:rsidRDefault="00405ABA">
      <w:pPr>
        <w:spacing w:before="120" w:after="280" w:afterAutospacing="1"/>
      </w:pPr>
      <w:r>
        <w:t>d) Infiltration, creation or exploitation of weaknesses, security vulnerabilities and system services of computer networks, telecommunications networks and electronic means;</w:t>
      </w:r>
    </w:p>
    <w:p w14:paraId="6E04BDE8" w14:textId="77777777" w:rsidR="00405ABA" w:rsidRDefault="00405ABA">
      <w:pPr>
        <w:spacing w:before="120" w:after="280" w:afterAutospacing="1"/>
      </w:pPr>
      <w:r>
        <w:t>dd) Illegally intruding into computer networks, telecommunications networks and electronic means of essential and confidential agencies and organizations (e.g. the Government, Military agencies, Police, State Bank of Vietnam,...);</w:t>
      </w:r>
    </w:p>
    <w:p w14:paraId="46F65548" w14:textId="77777777" w:rsidR="00405ABA" w:rsidRDefault="00405ABA">
      <w:pPr>
        <w:spacing w:before="120" w:after="280" w:afterAutospacing="1"/>
      </w:pPr>
      <w:r>
        <w:t>e) Hijacking the right to operate computer networks, telecommunications networks and electronic means;</w:t>
      </w:r>
    </w:p>
    <w:p w14:paraId="7332897D" w14:textId="77777777" w:rsidR="00405ABA" w:rsidRDefault="00405ABA">
      <w:pPr>
        <w:spacing w:before="120" w:after="280" w:afterAutospacing="1"/>
      </w:pPr>
      <w:r>
        <w:t>dd) Other acts affecting the normal operation of computer networks, telecommunications networks and electronic means.</w:t>
      </w:r>
    </w:p>
    <w:p w14:paraId="74D1748C" w14:textId="77777777" w:rsidR="00405ABA" w:rsidRDefault="00405ABA">
      <w:pPr>
        <w:spacing w:before="120" w:after="280" w:afterAutospacing="1"/>
      </w:pPr>
      <w:r>
        <w:t xml:space="preserve">4. </w:t>
      </w:r>
      <w:r>
        <w:rPr>
          <w:i/>
          <w:iCs/>
        </w:rPr>
        <w:t>Obstructing or disrupting the operation of computer networks, telecommunications networks and electronic means of agencies, organizations and individuals</w:t>
      </w:r>
      <w:r>
        <w:t xml:space="preserve"> specified at Point d, Clause 2, Article 299 of the Penal Code means acts of deleting, damaging or changing electronic software and data or illegally preventing the transmission of data of computer networks.  telecommunications networks, electronic means or committing other acts obstructing or disrupting the operation of computer networks, telecommunications networks and electronic means of agencies, organizations or individuals.</w:t>
      </w:r>
      <w:bookmarkStart w:id="27" w:name="dc_14"/>
      <w:bookmarkEnd w:id="27"/>
    </w:p>
    <w:p w14:paraId="22710DAE" w14:textId="77777777" w:rsidR="00405ABA" w:rsidRDefault="00405ABA">
      <w:pPr>
        <w:spacing w:before="120" w:after="280" w:afterAutospacing="1"/>
      </w:pPr>
      <w:bookmarkStart w:id="28" w:name="dieu_5"/>
      <w:r>
        <w:rPr>
          <w:b/>
          <w:bCs/>
        </w:rPr>
        <w:t>Article 5. Examination for penal liability in some specific cases</w:t>
      </w:r>
      <w:bookmarkEnd w:id="28"/>
    </w:p>
    <w:p w14:paraId="66269890" w14:textId="77777777" w:rsidR="00405ABA" w:rsidRDefault="00405ABA">
      <w:pPr>
        <w:spacing w:before="120" w:after="280" w:afterAutospacing="1"/>
      </w:pPr>
      <w:r>
        <w:t>1. In cases where a person commits a criminal act with both signs of a terrorist crime and signs of another lesser crime, he or she shall be examined for penal liability for the terrorist offense.</w:t>
      </w:r>
    </w:p>
    <w:p w14:paraId="71B7A9AC" w14:textId="77777777" w:rsidR="00405ABA" w:rsidRDefault="00405ABA">
      <w:pPr>
        <w:spacing w:before="120" w:after="280" w:afterAutospacing="1"/>
      </w:pPr>
      <w:r>
        <w:t>Example: In order to cause panic in the public, Nguyen Van A and his accomplices used mines to destroy a number of cars left in the yard of Company B. In this case, A and his accomplices were prosecuted for criminal liability for the crime of terrorism specified in Article 299 of the Criminal Code.</w:t>
      </w:r>
      <w:bookmarkStart w:id="29" w:name="dc_15"/>
      <w:bookmarkEnd w:id="29"/>
    </w:p>
    <w:p w14:paraId="2DF511C3" w14:textId="77777777" w:rsidR="00405ABA" w:rsidRDefault="00405ABA">
      <w:pPr>
        <w:spacing w:before="120" w:after="280" w:afterAutospacing="1"/>
      </w:pPr>
      <w:r>
        <w:lastRenderedPageBreak/>
        <w:t>2. In case a person commits many criminal acts, including acts showing signs of terrorism or acts showing signs of other crimes, he/she shall be examined for penal liability for terrorism and other crimes, if the signs of criminal constituents are satisfied.</w:t>
      </w:r>
    </w:p>
    <w:p w14:paraId="2DB73D6F" w14:textId="77777777" w:rsidR="00405ABA" w:rsidRDefault="00405ABA">
      <w:pPr>
        <w:spacing w:before="120" w:after="280" w:afterAutospacing="1"/>
      </w:pPr>
      <w:r>
        <w:t>Example: In order to cause panic in the public, Nguyen Van A and his accomplices used mines to destroy a number of cars left in the yard of Company H. After that, Nguyen Van A stole a motorbike worth 40 million VND from Mr. Tran Van C (an employee of Company B) to escape with his accomplices. In this case, A and his accomplices shall be examined for penal liability for terrorism under the provisions of Article 299 of the Penal Code and the crime of theft of property under the provisions of Article 173 of the Penal Code.</w:t>
      </w:r>
      <w:bookmarkStart w:id="30" w:name="dc_16"/>
      <w:bookmarkStart w:id="31" w:name="dc_17"/>
      <w:bookmarkEnd w:id="30"/>
      <w:bookmarkEnd w:id="31"/>
    </w:p>
    <w:p w14:paraId="69BC8BC3" w14:textId="77777777" w:rsidR="00405ABA" w:rsidRDefault="00405ABA">
      <w:pPr>
        <w:spacing w:before="120" w:after="280" w:afterAutospacing="1"/>
      </w:pPr>
      <w:r>
        <w:t>3. In cases where the perpetrators of criminal acts infringe upon the lives of others or destroy property of agencies, organizations or individuals without the aim of causing panic among the public, they shall not be examined for penal liability for terrorism offenses but shall be examined for penal liability for corresponding crimes on a case-by-case basis.</w:t>
      </w:r>
    </w:p>
    <w:p w14:paraId="014A99C6" w14:textId="77777777" w:rsidR="00405ABA" w:rsidRDefault="00405ABA">
      <w:pPr>
        <w:spacing w:before="120" w:after="280" w:afterAutospacing="1"/>
      </w:pPr>
      <w:r>
        <w:t>Example: Due to personal conflicts, Nguyen Van A killed and dismembered Ms. Nguyen Thi C's body into many parts and then took it to the funeral. Nguyen Van A's behavior caused confusion in public opinion, but when committing the offense, A did not aim to cause panic in the public but only for personal revenge. Therefore, A is examined for criminal liability for murder according to the provisions of Article 123 of the Criminal Code.</w:t>
      </w:r>
      <w:bookmarkStart w:id="32" w:name="dc_18"/>
      <w:bookmarkEnd w:id="32"/>
    </w:p>
    <w:p w14:paraId="25FA03EB" w14:textId="77777777" w:rsidR="00405ABA" w:rsidRDefault="00405ABA">
      <w:pPr>
        <w:spacing w:before="120" w:after="280" w:afterAutospacing="1"/>
      </w:pPr>
      <w:bookmarkStart w:id="33" w:name="dieu_6"/>
      <w:r>
        <w:rPr>
          <w:b/>
          <w:bCs/>
        </w:rPr>
        <w:t>Article 6. Enforcement effect</w:t>
      </w:r>
      <w:bookmarkEnd w:id="33"/>
    </w:p>
    <w:p w14:paraId="037510B0" w14:textId="77777777" w:rsidR="00405ABA" w:rsidRDefault="00405ABA">
      <w:pPr>
        <w:spacing w:before="120" w:after="280" w:afterAutospacing="1"/>
      </w:pPr>
      <w:r>
        <w:t>This Resolution was approved by the Council of Judges of the Supreme People's Court on October 16, 2019 and takes effect from December 1, 2019.</w:t>
      </w:r>
    </w:p>
    <w:p w14:paraId="3D0DE566" w14:textId="77777777" w:rsidR="00405ABA" w:rsidRDefault="00405AB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77BC4" w14:paraId="60E339FA" w14:textId="77777777">
        <w:tc>
          <w:tcPr>
            <w:tcW w:w="4808" w:type="dxa"/>
            <w:tcBorders>
              <w:top w:val="nil"/>
              <w:left w:val="nil"/>
              <w:bottom w:val="nil"/>
              <w:right w:val="nil"/>
              <w:tl2br w:val="nil"/>
              <w:tr2bl w:val="nil"/>
            </w:tcBorders>
            <w:tcMar>
              <w:top w:w="0" w:type="dxa"/>
              <w:left w:w="108" w:type="dxa"/>
              <w:bottom w:w="0" w:type="dxa"/>
              <w:right w:w="108" w:type="dxa"/>
            </w:tcMar>
          </w:tcPr>
          <w:p w14:paraId="592657C0" w14:textId="77777777" w:rsidR="00405ABA" w:rsidRDefault="00405ABA">
            <w:pPr>
              <w:spacing w:before="120"/>
            </w:pPr>
            <w:r>
              <w:br/>
            </w:r>
            <w:r>
              <w:rPr>
                <w:b/>
                <w:bCs/>
                <w:i/>
                <w:iCs/>
              </w:rPr>
              <w:t>Recipients:</w:t>
            </w:r>
            <w:r>
              <w:rPr>
                <w:b/>
                <w:bCs/>
                <w:i/>
                <w:iCs/>
              </w:rPr>
              <w:br/>
            </w:r>
            <w:r>
              <w:rPr>
                <w:sz w:val="16"/>
              </w:rPr>
              <w:t>- Standing Committee of the National Assembly (for supervision);- Legal Committee of the National Assembly (for supervision);- Justice Committee of the National Assembly (for supervision);- Central Committee for Internal Affairs (for reporting);- Office of the Party Central Committee (for reporting);- Office of the President (for reporting);- Office of the Government 02 copies (for publication in the Official Gazette);- Supreme People's Procuracy (for coordination);- Ministry of Justice (for coordination);- Ministry of Public Security (for coordination);- State Bank of Vietnam (for coordination);- Courts and SPCs at all levels (for implementation);- Judges and SPC units (for implementation);- SPC web portal (for posting);- Save: VT, SPC PC&amp;Management Department.</w:t>
            </w:r>
          </w:p>
        </w:tc>
        <w:tc>
          <w:tcPr>
            <w:tcW w:w="4048" w:type="dxa"/>
            <w:tcBorders>
              <w:top w:val="nil"/>
              <w:left w:val="nil"/>
              <w:bottom w:val="nil"/>
              <w:right w:val="nil"/>
              <w:tl2br w:val="nil"/>
              <w:tr2bl w:val="nil"/>
            </w:tcBorders>
            <w:tcMar>
              <w:top w:w="0" w:type="dxa"/>
              <w:left w:w="108" w:type="dxa"/>
              <w:bottom w:w="0" w:type="dxa"/>
              <w:right w:w="108" w:type="dxa"/>
            </w:tcMar>
          </w:tcPr>
          <w:p w14:paraId="2F01533E" w14:textId="77777777" w:rsidR="00405ABA" w:rsidRDefault="00405ABA">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08341E77" w14:textId="7E2025EE" w:rsidR="00405ABA" w:rsidRDefault="00405ABA">
      <w:pPr>
        <w:spacing w:before="120" w:after="280" w:afterAutospacing="1"/>
      </w:pPr>
      <w:r>
        <w:t> </w:t>
      </w:r>
    </w:p>
    <w:sectPr w:rsidR="00405A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0212" w14:textId="77777777" w:rsidR="008B5942" w:rsidRDefault="008B5942" w:rsidP="008B5942">
      <w:r>
        <w:separator/>
      </w:r>
    </w:p>
  </w:endnote>
  <w:endnote w:type="continuationSeparator" w:id="0">
    <w:p w14:paraId="18F8C56F" w14:textId="77777777" w:rsidR="008B5942" w:rsidRDefault="008B5942" w:rsidP="008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99D9" w14:textId="77777777" w:rsidR="004C29D2" w:rsidRDefault="004C2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E7FE" w14:textId="77777777" w:rsidR="004C29D2" w:rsidRPr="001E142E" w:rsidRDefault="004C29D2" w:rsidP="004C29D2">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55F70CE7" w14:textId="02B94CC5" w:rsidR="008B5942" w:rsidRPr="004C29D2" w:rsidRDefault="004C29D2" w:rsidP="004C29D2">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2419" w14:textId="77777777" w:rsidR="004C29D2" w:rsidRDefault="004C2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D975" w14:textId="77777777" w:rsidR="008B5942" w:rsidRDefault="008B5942" w:rsidP="008B5942">
      <w:r>
        <w:separator/>
      </w:r>
    </w:p>
  </w:footnote>
  <w:footnote w:type="continuationSeparator" w:id="0">
    <w:p w14:paraId="0EAA1879" w14:textId="77777777" w:rsidR="008B5942" w:rsidRDefault="008B5942" w:rsidP="008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9800" w14:textId="77777777" w:rsidR="004C29D2" w:rsidRDefault="004C2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5A3" w14:textId="77777777" w:rsidR="004C29D2" w:rsidRDefault="004C2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AD92" w14:textId="77777777" w:rsidR="004C29D2" w:rsidRDefault="004C2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5"/>
    <w:rsid w:val="00077BC4"/>
    <w:rsid w:val="0029371F"/>
    <w:rsid w:val="003423A6"/>
    <w:rsid w:val="00405ABA"/>
    <w:rsid w:val="004C29D2"/>
    <w:rsid w:val="008B5942"/>
    <w:rsid w:val="00AA2D36"/>
    <w:rsid w:val="00C765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A63CF"/>
  <w15:chartTrackingRefBased/>
  <w15:docId w15:val="{1B16D697-85BC-462D-B815-BC1B939E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942"/>
    <w:pPr>
      <w:tabs>
        <w:tab w:val="center" w:pos="4680"/>
        <w:tab w:val="right" w:pos="9360"/>
      </w:tabs>
    </w:pPr>
  </w:style>
  <w:style w:type="character" w:customStyle="1" w:styleId="HeaderChar">
    <w:name w:val="Header Char"/>
    <w:basedOn w:val="DefaultParagraphFont"/>
    <w:link w:val="Header"/>
    <w:uiPriority w:val="99"/>
    <w:rsid w:val="008B5942"/>
    <w:rPr>
      <w:sz w:val="24"/>
      <w:szCs w:val="24"/>
    </w:rPr>
  </w:style>
  <w:style w:type="paragraph" w:styleId="Footer">
    <w:name w:val="footer"/>
    <w:basedOn w:val="Normal"/>
    <w:link w:val="FooterChar"/>
    <w:uiPriority w:val="99"/>
    <w:unhideWhenUsed/>
    <w:rsid w:val="008B5942"/>
    <w:pPr>
      <w:tabs>
        <w:tab w:val="center" w:pos="4680"/>
        <w:tab w:val="right" w:pos="9360"/>
      </w:tabs>
    </w:pPr>
  </w:style>
  <w:style w:type="character" w:customStyle="1" w:styleId="FooterChar">
    <w:name w:val="Footer Char"/>
    <w:basedOn w:val="DefaultParagraphFont"/>
    <w:link w:val="Footer"/>
    <w:uiPriority w:val="99"/>
    <w:rsid w:val="008B5942"/>
    <w:rPr>
      <w:sz w:val="24"/>
      <w:szCs w:val="24"/>
    </w:rPr>
  </w:style>
  <w:style w:type="character" w:styleId="PlaceholderText">
    <w:name w:val="Placeholder Text"/>
    <w:basedOn w:val="DefaultParagraphFont"/>
    <w:uiPriority w:val="99"/>
    <w:unhideWhenUsed/>
    <w:rsid w:val="00AA2D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1506</Words>
  <Characters>8324</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2025-10-28T00:09:00Z</dcterms:created>
  <dcterms:modified xsi:type="dcterms:W3CDTF">2025-10-28T00:10:00Z</dcterms:modified>
</cp:coreProperties>
</file>